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BD4F7" w14:textId="77777777" w:rsidR="00055890" w:rsidRDefault="00055890" w:rsidP="00642C60">
      <w:pPr>
        <w:pStyle w:val="Tre"/>
        <w:spacing w:line="288" w:lineRule="auto"/>
        <w:jc w:val="both"/>
      </w:pPr>
    </w:p>
    <w:p w14:paraId="54F5C94B" w14:textId="698A9C1E" w:rsidR="00055890" w:rsidRDefault="00B81F41" w:rsidP="00642C60">
      <w:pPr>
        <w:pStyle w:val="Tre"/>
        <w:spacing w:line="288" w:lineRule="auto"/>
        <w:jc w:val="both"/>
        <w:rPr>
          <w:b/>
          <w:bCs/>
        </w:rPr>
      </w:pPr>
      <w:r>
        <w:rPr>
          <w:b/>
          <w:bCs/>
        </w:rPr>
        <w:t>Czy mo</w:t>
      </w:r>
      <w:r w:rsidR="00642C60">
        <w:rPr>
          <w:b/>
          <w:bCs/>
        </w:rPr>
        <w:t>ż</w:t>
      </w:r>
      <w:r>
        <w:rPr>
          <w:b/>
          <w:bCs/>
        </w:rPr>
        <w:t xml:space="preserve">na ubezpieczyć się </w:t>
      </w:r>
      <w:r w:rsidR="00642C60">
        <w:rPr>
          <w:b/>
          <w:bCs/>
        </w:rPr>
        <w:t>ż</w:t>
      </w:r>
      <w:r>
        <w:rPr>
          <w:b/>
          <w:bCs/>
        </w:rPr>
        <w:t>ywno</w:t>
      </w:r>
      <w:r w:rsidR="00642C60">
        <w:rPr>
          <w:b/>
          <w:bCs/>
        </w:rPr>
        <w:t>ś</w:t>
      </w:r>
      <w:r>
        <w:rPr>
          <w:b/>
          <w:bCs/>
        </w:rPr>
        <w:t>ciowo?</w:t>
      </w:r>
    </w:p>
    <w:p w14:paraId="7438199C" w14:textId="2E8A23AE" w:rsidR="00055890" w:rsidRDefault="00B81F41" w:rsidP="00642C60">
      <w:pPr>
        <w:pStyle w:val="Tre"/>
        <w:spacing w:line="288" w:lineRule="auto"/>
        <w:jc w:val="both"/>
        <w:rPr>
          <w:b/>
          <w:bCs/>
        </w:rPr>
      </w:pPr>
      <w:r>
        <w:rPr>
          <w:b/>
          <w:bCs/>
        </w:rPr>
        <w:t>Du</w:t>
      </w:r>
      <w:r w:rsidR="00642C60">
        <w:rPr>
          <w:b/>
          <w:bCs/>
        </w:rPr>
        <w:t>ż</w:t>
      </w:r>
      <w:r>
        <w:rPr>
          <w:b/>
          <w:bCs/>
        </w:rPr>
        <w:t>y mo</w:t>
      </w:r>
      <w:r w:rsidR="00642C60">
        <w:rPr>
          <w:b/>
          <w:bCs/>
        </w:rPr>
        <w:t>ż</w:t>
      </w:r>
      <w:r>
        <w:rPr>
          <w:b/>
          <w:bCs/>
        </w:rPr>
        <w:t xml:space="preserve">e więcej. Wyzwania dla bezpieczeństwa </w:t>
      </w:r>
      <w:r w:rsidR="00642C60">
        <w:rPr>
          <w:b/>
          <w:bCs/>
        </w:rPr>
        <w:t>ż</w:t>
      </w:r>
      <w:r>
        <w:rPr>
          <w:b/>
          <w:bCs/>
        </w:rPr>
        <w:t>ywno</w:t>
      </w:r>
      <w:r w:rsidR="00642C60">
        <w:rPr>
          <w:b/>
          <w:bCs/>
        </w:rPr>
        <w:t>ś</w:t>
      </w:r>
      <w:r>
        <w:rPr>
          <w:b/>
          <w:bCs/>
        </w:rPr>
        <w:t xml:space="preserve">ciowego Polaków </w:t>
      </w:r>
      <w:r w:rsidR="00642C60">
        <w:rPr>
          <w:b/>
          <w:bCs/>
        </w:rPr>
        <w:t>–</w:t>
      </w:r>
      <w:r>
        <w:rPr>
          <w:b/>
          <w:bCs/>
        </w:rPr>
        <w:t xml:space="preserve"> to</w:t>
      </w:r>
      <w:r w:rsidR="00642C60">
        <w:rPr>
          <w:b/>
          <w:bCs/>
        </w:rPr>
        <w:t xml:space="preserve"> </w:t>
      </w:r>
      <w:r>
        <w:rPr>
          <w:b/>
          <w:bCs/>
        </w:rPr>
        <w:t>nowy raport ekspertó</w:t>
      </w:r>
      <w:r>
        <w:rPr>
          <w:b/>
          <w:bCs/>
        </w:rPr>
        <w:t>w Centrum Polityk Publicznych Uniwersytetu Ekonomicznego w</w:t>
      </w:r>
      <w:r w:rsidR="00642C60">
        <w:rPr>
          <w:rFonts w:hint="eastAsia"/>
          <w:b/>
          <w:bCs/>
        </w:rPr>
        <w:t> </w:t>
      </w:r>
      <w:r>
        <w:rPr>
          <w:b/>
          <w:bCs/>
        </w:rPr>
        <w:t>Krakowie.</w:t>
      </w:r>
    </w:p>
    <w:p w14:paraId="273B6DEF" w14:textId="77777777" w:rsidR="00055890" w:rsidRDefault="00055890" w:rsidP="00642C60">
      <w:pPr>
        <w:pStyle w:val="Tre"/>
        <w:spacing w:line="288" w:lineRule="auto"/>
        <w:jc w:val="both"/>
      </w:pPr>
    </w:p>
    <w:p w14:paraId="2DF531D5" w14:textId="0CE9C69F" w:rsidR="00055890" w:rsidRDefault="00B81F41" w:rsidP="00642C60">
      <w:pPr>
        <w:pStyle w:val="Tre"/>
        <w:spacing w:line="288" w:lineRule="auto"/>
        <w:jc w:val="both"/>
      </w:pPr>
      <w:r>
        <w:t>Przygotowali go Bartłomiej Biga, Maciej Frączek, Marcin Kędzierski, Bartosz Mielniczek, Michał Mo</w:t>
      </w:r>
      <w:r w:rsidR="00642C60">
        <w:t>ż</w:t>
      </w:r>
      <w:r>
        <w:t>d</w:t>
      </w:r>
      <w:r w:rsidR="00642C60">
        <w:t>ż</w:t>
      </w:r>
      <w:r>
        <w:t xml:space="preserve">eń, Marek Oramus i Michał </w:t>
      </w:r>
      <w:r w:rsidR="00642C60">
        <w:t>Ż</w:t>
      </w:r>
      <w:r>
        <w:t>abiński.</w:t>
      </w:r>
    </w:p>
    <w:p w14:paraId="32858136" w14:textId="77777777" w:rsidR="00055890" w:rsidRDefault="00055890" w:rsidP="00642C60">
      <w:pPr>
        <w:pStyle w:val="Tre"/>
        <w:spacing w:line="288" w:lineRule="auto"/>
        <w:jc w:val="both"/>
      </w:pPr>
    </w:p>
    <w:p w14:paraId="46BABD5F" w14:textId="0C7D04E8" w:rsidR="00055890" w:rsidRDefault="00B81F41" w:rsidP="00642C60">
      <w:pPr>
        <w:pStyle w:val="Tre"/>
        <w:spacing w:line="288" w:lineRule="auto"/>
        <w:jc w:val="both"/>
      </w:pPr>
      <w:r>
        <w:t>Funkcjonujemy w rzeczywist</w:t>
      </w:r>
      <w:r w:rsidR="00642C60">
        <w:t>ości</w:t>
      </w:r>
      <w:r>
        <w:rPr>
          <w:lang w:val="it-IT"/>
        </w:rPr>
        <w:t xml:space="preserve"> </w:t>
      </w:r>
      <w:r>
        <w:t>nakładających s</w:t>
      </w:r>
      <w:r>
        <w:t>ię na siebie kryzysów, w k</w:t>
      </w:r>
      <w:r w:rsidR="00642C60">
        <w:t>tórych</w:t>
      </w:r>
      <w:r>
        <w:t xml:space="preserve"> coraz wa</w:t>
      </w:r>
      <w:r w:rsidR="00642C60">
        <w:t>ż</w:t>
      </w:r>
      <w:r>
        <w:t>niejszą rolę zaczyna odgrywać polityka mająca na celu zapewnienie wielowymiarowego bezpieczeństwa. Jest nim te</w:t>
      </w:r>
      <w:r w:rsidR="00642C60">
        <w:t>ż</w:t>
      </w:r>
      <w:r>
        <w:t xml:space="preserve"> bezpieczeństwo </w:t>
      </w:r>
      <w:r w:rsidR="00642C60">
        <w:t>ż</w:t>
      </w:r>
      <w:r>
        <w:t>ywno</w:t>
      </w:r>
      <w:r w:rsidR="00642C60">
        <w:t>ś</w:t>
      </w:r>
      <w:r>
        <w:t xml:space="preserve">ciowe. Wystarczy przypomnieć sobie </w:t>
      </w:r>
      <w:r>
        <w:rPr>
          <w:b/>
          <w:bCs/>
        </w:rPr>
        <w:t>szturm na sklepy u progu pandemii COVID-19</w:t>
      </w:r>
      <w:r>
        <w:t xml:space="preserve"> i p</w:t>
      </w:r>
      <w:r>
        <w:t>uste półki z niek</w:t>
      </w:r>
      <w:r w:rsidR="00642C60">
        <w:t>tórymi</w:t>
      </w:r>
      <w:r>
        <w:t xml:space="preserve"> artykułami spo</w:t>
      </w:r>
      <w:r w:rsidR="00642C60">
        <w:t>ż</w:t>
      </w:r>
      <w:r>
        <w:t>ywczymi. Albo obawy o nagle dro</w:t>
      </w:r>
      <w:r w:rsidR="00642C60">
        <w:t>ż</w:t>
      </w:r>
      <w:r>
        <w:t>ejące podstawowe produkty spo</w:t>
      </w:r>
      <w:r w:rsidR="00642C60">
        <w:t>ż</w:t>
      </w:r>
      <w:r>
        <w:t>ywcze, k</w:t>
      </w:r>
      <w:r w:rsidR="00642C60">
        <w:t>tóre</w:t>
      </w:r>
      <w:r>
        <w:t xml:space="preserve"> na dodatek momentami w og</w:t>
      </w:r>
      <w:r w:rsidR="00642C60">
        <w:t>óle</w:t>
      </w:r>
      <w:r>
        <w:t xml:space="preserve"> trudno było kupić, jak miało to miejsce z cukrem latem 2022 roku.</w:t>
      </w:r>
    </w:p>
    <w:p w14:paraId="04FFCDAA" w14:textId="77777777" w:rsidR="00055890" w:rsidRDefault="00055890" w:rsidP="00642C60">
      <w:pPr>
        <w:pStyle w:val="Tre"/>
        <w:spacing w:line="288" w:lineRule="auto"/>
        <w:jc w:val="both"/>
      </w:pPr>
    </w:p>
    <w:p w14:paraId="6481B8AA" w14:textId="6FFAF164" w:rsidR="00055890" w:rsidRDefault="00B81F41" w:rsidP="00642C60">
      <w:pPr>
        <w:pStyle w:val="Tre"/>
        <w:spacing w:line="288" w:lineRule="auto"/>
        <w:jc w:val="both"/>
      </w:pPr>
      <w:r>
        <w:t xml:space="preserve">Eksperci </w:t>
      </w:r>
      <w:proofErr w:type="spellStart"/>
      <w:r>
        <w:t>CPP</w:t>
      </w:r>
      <w:proofErr w:type="spellEnd"/>
      <w:r>
        <w:t xml:space="preserve"> wskazują, </w:t>
      </w:r>
      <w:r w:rsidR="00642C60">
        <w:t>ż</w:t>
      </w:r>
      <w:r>
        <w:t>e hasłem dobrze opisuj</w:t>
      </w:r>
      <w:r>
        <w:t>ącym sytuację sektora rolno-spo</w:t>
      </w:r>
      <w:r w:rsidR="00642C60">
        <w:t>ż</w:t>
      </w:r>
      <w:r>
        <w:t>ywczego jest</w:t>
      </w:r>
      <w:r>
        <w:rPr>
          <w:b/>
          <w:bCs/>
        </w:rPr>
        <w:t xml:space="preserve"> „du</w:t>
      </w:r>
      <w:r w:rsidR="00642C60">
        <w:rPr>
          <w:b/>
          <w:bCs/>
        </w:rPr>
        <w:t>ży</w:t>
      </w:r>
      <w:r>
        <w:rPr>
          <w:b/>
          <w:bCs/>
          <w:lang w:val="en-US"/>
        </w:rPr>
        <w:t xml:space="preserve"> </w:t>
      </w:r>
      <w:r w:rsidR="00642C60">
        <w:rPr>
          <w:b/>
          <w:bCs/>
        </w:rPr>
        <w:t>może więcej</w:t>
      </w:r>
      <w:r>
        <w:rPr>
          <w:b/>
          <w:bCs/>
        </w:rPr>
        <w:t>”</w:t>
      </w:r>
      <w:r>
        <w:t>:</w:t>
      </w:r>
    </w:p>
    <w:p w14:paraId="5F963DA7" w14:textId="0B1FBD1F" w:rsidR="00055890" w:rsidRPr="00642C60" w:rsidRDefault="00B81F41" w:rsidP="00642C60">
      <w:pPr>
        <w:pStyle w:val="Tre"/>
        <w:numPr>
          <w:ilvl w:val="0"/>
          <w:numId w:val="3"/>
        </w:numPr>
        <w:spacing w:line="288" w:lineRule="auto"/>
        <w:ind w:left="426" w:hanging="426"/>
        <w:jc w:val="both"/>
        <w:rPr>
          <w:lang w:val="da-DK"/>
        </w:rPr>
      </w:pPr>
      <w:r w:rsidRPr="00642C60">
        <w:rPr>
          <w:lang w:val="da-DK"/>
        </w:rPr>
        <w:t>Du</w:t>
      </w:r>
      <w:r w:rsidR="00642C60" w:rsidRPr="00642C60">
        <w:rPr>
          <w:lang w:val="da-DK"/>
        </w:rPr>
        <w:t>ż</w:t>
      </w:r>
      <w:r w:rsidRPr="00642C60">
        <w:rPr>
          <w:lang w:val="da-DK"/>
        </w:rPr>
        <w:t>e sieci handlowe mogą narzucać warunki gry rozdrobnionym producentom rolnym.</w:t>
      </w:r>
    </w:p>
    <w:p w14:paraId="21C81F17" w14:textId="2BE3EDE2" w:rsidR="00055890" w:rsidRPr="00642C60" w:rsidRDefault="00B81F41" w:rsidP="00642C60">
      <w:pPr>
        <w:pStyle w:val="Tre"/>
        <w:numPr>
          <w:ilvl w:val="0"/>
          <w:numId w:val="3"/>
        </w:numPr>
        <w:spacing w:line="288" w:lineRule="auto"/>
        <w:ind w:left="426" w:hanging="426"/>
        <w:jc w:val="both"/>
        <w:rPr>
          <w:lang w:val="da-DK"/>
        </w:rPr>
      </w:pPr>
      <w:r w:rsidRPr="00642C60">
        <w:rPr>
          <w:lang w:val="da-DK"/>
        </w:rPr>
        <w:t>Du</w:t>
      </w:r>
      <w:r w:rsidR="00642C60" w:rsidRPr="00642C60">
        <w:rPr>
          <w:lang w:val="da-DK"/>
        </w:rPr>
        <w:t>ż</w:t>
      </w:r>
      <w:r w:rsidRPr="00642C60">
        <w:rPr>
          <w:lang w:val="da-DK"/>
        </w:rPr>
        <w:t xml:space="preserve">e </w:t>
      </w:r>
      <w:proofErr w:type="spellStart"/>
      <w:r w:rsidRPr="00642C60">
        <w:rPr>
          <w:lang w:val="da-DK"/>
        </w:rPr>
        <w:t>agroholdingi</w:t>
      </w:r>
      <w:proofErr w:type="spellEnd"/>
      <w:r w:rsidRPr="00642C60">
        <w:rPr>
          <w:lang w:val="da-DK"/>
        </w:rPr>
        <w:t xml:space="preserve"> działające </w:t>
      </w:r>
      <w:r w:rsidRPr="00642C60">
        <w:rPr>
          <w:lang w:val="da-DK"/>
        </w:rPr>
        <w:t xml:space="preserve">na Ukrainie, czy </w:t>
      </w:r>
      <w:r w:rsidRPr="00642C60">
        <w:rPr>
          <w:lang w:val="da-DK"/>
        </w:rPr>
        <w:t>w państwach Europy Zachodniej, mogą skutecznie wypiera</w:t>
      </w:r>
      <w:r w:rsidRPr="00642C60">
        <w:rPr>
          <w:lang w:val="da-DK"/>
        </w:rPr>
        <w:t>ć polskich rolnik</w:t>
      </w:r>
      <w:r w:rsidRPr="00642C60">
        <w:rPr>
          <w:lang w:val="da-DK"/>
        </w:rPr>
        <w:t>ó</w:t>
      </w:r>
      <w:r w:rsidRPr="00642C60">
        <w:rPr>
          <w:lang w:val="da-DK"/>
        </w:rPr>
        <w:t>w z rynku.</w:t>
      </w:r>
    </w:p>
    <w:p w14:paraId="155D6CA8" w14:textId="0A2D55FE" w:rsidR="00055890" w:rsidRPr="00642C60" w:rsidRDefault="00B81F41" w:rsidP="00642C60">
      <w:pPr>
        <w:pStyle w:val="Tre"/>
        <w:numPr>
          <w:ilvl w:val="0"/>
          <w:numId w:val="3"/>
        </w:numPr>
        <w:spacing w:line="288" w:lineRule="auto"/>
        <w:ind w:left="426" w:hanging="426"/>
        <w:jc w:val="both"/>
        <w:rPr>
          <w:lang w:val="da-DK"/>
        </w:rPr>
      </w:pPr>
      <w:r w:rsidRPr="00642C60">
        <w:rPr>
          <w:lang w:val="da-DK"/>
        </w:rPr>
        <w:t>Du</w:t>
      </w:r>
      <w:r w:rsidR="00642C60" w:rsidRPr="00642C60">
        <w:rPr>
          <w:lang w:val="da-DK"/>
        </w:rPr>
        <w:t>ż</w:t>
      </w:r>
      <w:r w:rsidRPr="00642C60">
        <w:rPr>
          <w:lang w:val="da-DK"/>
        </w:rPr>
        <w:t>e zakłady przetw</w:t>
      </w:r>
      <w:r w:rsidR="00642C60" w:rsidRPr="00642C60">
        <w:rPr>
          <w:lang w:val="da-DK"/>
        </w:rPr>
        <w:t>órstwa</w:t>
      </w:r>
      <w:r w:rsidRPr="00642C60">
        <w:rPr>
          <w:lang w:val="da-DK"/>
        </w:rPr>
        <w:t xml:space="preserve"> rolno-spo</w:t>
      </w:r>
      <w:r w:rsidR="00642C60" w:rsidRPr="00642C60">
        <w:rPr>
          <w:lang w:val="da-DK"/>
        </w:rPr>
        <w:t>ż</w:t>
      </w:r>
      <w:r w:rsidRPr="00642C60">
        <w:rPr>
          <w:lang w:val="da-DK"/>
        </w:rPr>
        <w:t>ywczego mogą wykorzystywać korzy</w:t>
      </w:r>
      <w:r w:rsidR="00642C60" w:rsidRPr="00642C60">
        <w:rPr>
          <w:lang w:val="da-DK"/>
        </w:rPr>
        <w:t>ś</w:t>
      </w:r>
      <w:r w:rsidRPr="00642C60">
        <w:rPr>
          <w:lang w:val="da-DK"/>
        </w:rPr>
        <w:t>ci skali i</w:t>
      </w:r>
      <w:r w:rsidR="00642C60">
        <w:rPr>
          <w:rFonts w:hint="eastAsia"/>
          <w:lang w:val="da-DK"/>
        </w:rPr>
        <w:t> </w:t>
      </w:r>
      <w:r w:rsidRPr="00642C60">
        <w:rPr>
          <w:lang w:val="da-DK"/>
        </w:rPr>
        <w:t>zwiększać swoją konkurencyjno</w:t>
      </w:r>
      <w:r w:rsidR="00642C60" w:rsidRPr="00642C60">
        <w:rPr>
          <w:lang w:val="da-DK"/>
        </w:rPr>
        <w:t>ś</w:t>
      </w:r>
      <w:r w:rsidRPr="00642C60">
        <w:rPr>
          <w:lang w:val="da-DK"/>
        </w:rPr>
        <w:t>ć. Jednocze</w:t>
      </w:r>
      <w:r w:rsidR="00642C60" w:rsidRPr="00642C60">
        <w:rPr>
          <w:lang w:val="da-DK"/>
        </w:rPr>
        <w:t>ś</w:t>
      </w:r>
      <w:r w:rsidRPr="00642C60">
        <w:rPr>
          <w:lang w:val="da-DK"/>
        </w:rPr>
        <w:t>nie mali i rozdrobnieni producenci rolni są bardziej podatni na wszelkie zawirowania rynkowe czy pogodow</w:t>
      </w:r>
      <w:r w:rsidRPr="00642C60">
        <w:rPr>
          <w:lang w:val="da-DK"/>
        </w:rPr>
        <w:t>e. Rozproszone i</w:t>
      </w:r>
      <w:r w:rsidR="00642C60">
        <w:rPr>
          <w:rFonts w:hint="eastAsia"/>
          <w:lang w:val="da-DK"/>
        </w:rPr>
        <w:t> </w:t>
      </w:r>
      <w:r w:rsidRPr="00642C60">
        <w:rPr>
          <w:lang w:val="da-DK"/>
        </w:rPr>
        <w:t xml:space="preserve">słabe inspekcje nie mają wystarczającego potencjału, aby optymalizować urzędową kontrolę </w:t>
      </w:r>
      <w:r w:rsidR="00642C60" w:rsidRPr="00642C60">
        <w:rPr>
          <w:lang w:val="da-DK"/>
        </w:rPr>
        <w:t>ż</w:t>
      </w:r>
      <w:r w:rsidRPr="00642C60">
        <w:rPr>
          <w:lang w:val="da-DK"/>
        </w:rPr>
        <w:t>ywno</w:t>
      </w:r>
      <w:r w:rsidR="00642C60" w:rsidRPr="00642C60">
        <w:rPr>
          <w:lang w:val="da-DK"/>
        </w:rPr>
        <w:t>ś</w:t>
      </w:r>
      <w:r w:rsidRPr="00642C60">
        <w:rPr>
          <w:lang w:val="da-DK"/>
        </w:rPr>
        <w:t>ci. Podobnie rzecz ma się z całym ekosystemem instytucjonalnym polityki rolnej. Wreszcie niewielkie i niezintegrowane państwowe instytuty badawc</w:t>
      </w:r>
      <w:r w:rsidRPr="00642C60">
        <w:rPr>
          <w:lang w:val="da-DK"/>
        </w:rPr>
        <w:t>ze nie są w stanie generować innowacji niezbędnych w rolnictwie.</w:t>
      </w:r>
    </w:p>
    <w:p w14:paraId="3C1E1E75" w14:textId="77777777" w:rsidR="00055890" w:rsidRDefault="00055890" w:rsidP="00642C60">
      <w:pPr>
        <w:pStyle w:val="Tre"/>
        <w:spacing w:line="288" w:lineRule="auto"/>
        <w:jc w:val="both"/>
      </w:pPr>
    </w:p>
    <w:p w14:paraId="6A833589" w14:textId="2C1BDC1E" w:rsidR="00055890" w:rsidRDefault="00B81F41" w:rsidP="00642C60">
      <w:pPr>
        <w:pStyle w:val="Tre"/>
        <w:spacing w:line="288" w:lineRule="auto"/>
        <w:jc w:val="both"/>
      </w:pPr>
      <w:r>
        <w:t>„Zwykle nie my</w:t>
      </w:r>
      <w:r w:rsidR="00642C60">
        <w:t>ś</w:t>
      </w:r>
      <w:r>
        <w:t>limy o tym na co dzień, ale wokół nas istnieje cały szereg zagro</w:t>
      </w:r>
      <w:r w:rsidR="00642C60">
        <w:t>ż</w:t>
      </w:r>
      <w:r>
        <w:t xml:space="preserve">eń dla szeroko rozumianego bezpieczeństwa </w:t>
      </w:r>
      <w:r w:rsidR="00642C60">
        <w:t>ż</w:t>
      </w:r>
      <w:r>
        <w:t>ywno</w:t>
      </w:r>
      <w:r w:rsidR="00642C60">
        <w:t>ś</w:t>
      </w:r>
      <w:r>
        <w:t>ciowego, kt</w:t>
      </w:r>
      <w:r w:rsidR="00642C60">
        <w:t>óre można</w:t>
      </w:r>
      <w:r>
        <w:t xml:space="preserve"> przedstawić w postaci triady: zdatno</w:t>
      </w:r>
      <w:r w:rsidR="00642C60">
        <w:t>ś</w:t>
      </w:r>
      <w:r>
        <w:t xml:space="preserve">ć </w:t>
      </w:r>
      <w:r>
        <w:rPr>
          <w:lang w:val="it-IT"/>
        </w:rPr>
        <w:t>do</w:t>
      </w:r>
      <w:r>
        <w:rPr>
          <w:lang w:val="it-IT"/>
        </w:rPr>
        <w:t xml:space="preserve"> spo</w:t>
      </w:r>
      <w:r w:rsidR="00642C60">
        <w:t>ż</w:t>
      </w:r>
      <w:r>
        <w:t>ycia – fizyczna dostępno</w:t>
      </w:r>
      <w:r w:rsidR="00642C60">
        <w:t>ś</w:t>
      </w:r>
      <w:r>
        <w:t xml:space="preserve">ć – </w:t>
      </w:r>
      <w:r>
        <w:rPr>
          <w:lang w:val="it-IT"/>
        </w:rPr>
        <w:t>cena</w:t>
      </w:r>
      <w:r>
        <w:t xml:space="preserve">” </w:t>
      </w:r>
      <w:r w:rsidR="00642C60">
        <w:t>–</w:t>
      </w:r>
      <w:r>
        <w:t xml:space="preserve"> czytamy</w:t>
      </w:r>
      <w:r w:rsidR="00642C60">
        <w:t xml:space="preserve"> </w:t>
      </w:r>
      <w:r>
        <w:t>w raporcie.</w:t>
      </w:r>
    </w:p>
    <w:p w14:paraId="46A9AA1A" w14:textId="77777777" w:rsidR="00055890" w:rsidRDefault="00055890" w:rsidP="00642C60">
      <w:pPr>
        <w:pStyle w:val="Tre"/>
        <w:spacing w:line="288" w:lineRule="auto"/>
        <w:jc w:val="both"/>
      </w:pPr>
    </w:p>
    <w:p w14:paraId="75EF7F68" w14:textId="77777777" w:rsidR="00055890" w:rsidRDefault="00B81F41" w:rsidP="00642C60">
      <w:pPr>
        <w:pStyle w:val="Tre"/>
        <w:spacing w:line="288" w:lineRule="auto"/>
        <w:jc w:val="both"/>
        <w:rPr>
          <w:b/>
          <w:bCs/>
        </w:rPr>
      </w:pPr>
      <w:r>
        <w:rPr>
          <w:b/>
          <w:bCs/>
        </w:rPr>
        <w:t>Eksperci skupili się na kilku obszarach</w:t>
      </w:r>
      <w:r w:rsidRPr="00642C60">
        <w:t>:</w:t>
      </w:r>
    </w:p>
    <w:p w14:paraId="7FF7C26C" w14:textId="3642C34E" w:rsidR="00055890" w:rsidRDefault="00B81F41" w:rsidP="00642C60">
      <w:pPr>
        <w:pStyle w:val="Tre"/>
        <w:numPr>
          <w:ilvl w:val="0"/>
          <w:numId w:val="3"/>
        </w:numPr>
        <w:spacing w:line="288" w:lineRule="auto"/>
        <w:ind w:left="426" w:hanging="426"/>
        <w:jc w:val="both"/>
        <w:rPr>
          <w:lang w:val="da-DK"/>
        </w:rPr>
      </w:pPr>
      <w:r>
        <w:rPr>
          <w:lang w:val="da-DK"/>
        </w:rPr>
        <w:t>Og</w:t>
      </w:r>
      <w:r w:rsidR="00642C60">
        <w:rPr>
          <w:lang w:val="da-DK"/>
        </w:rPr>
        <w:t>ólna</w:t>
      </w:r>
      <w:r>
        <w:t xml:space="preserve"> charakterystyka sektora rolno-spo</w:t>
      </w:r>
      <w:r w:rsidR="00642C60">
        <w:t>ż</w:t>
      </w:r>
      <w:r>
        <w:t>ywczego w</w:t>
      </w:r>
      <w:r w:rsidR="00642C60">
        <w:t xml:space="preserve"> </w:t>
      </w:r>
      <w:r>
        <w:t>Polsce. Tu podkre</w:t>
      </w:r>
      <w:r w:rsidR="00642C60">
        <w:t>ś</w:t>
      </w:r>
      <w:r>
        <w:t xml:space="preserve">lają, </w:t>
      </w:r>
      <w:r w:rsidR="00642C60">
        <w:t>ż</w:t>
      </w:r>
      <w:r>
        <w:t xml:space="preserve">e </w:t>
      </w:r>
      <w:r w:rsidR="00642C60">
        <w:t>p</w:t>
      </w:r>
      <w:r>
        <w:t xml:space="preserve">rawdziwym </w:t>
      </w:r>
      <w:proofErr w:type="spellStart"/>
      <w:r>
        <w:t>gamechangerem</w:t>
      </w:r>
      <w:proofErr w:type="spellEnd"/>
      <w:r>
        <w:t xml:space="preserve"> dla sektora okazał</w:t>
      </w:r>
      <w:r>
        <w:rPr>
          <w:lang w:val="it-IT"/>
        </w:rPr>
        <w:t>o si</w:t>
      </w:r>
      <w:r>
        <w:t xml:space="preserve">ę </w:t>
      </w:r>
      <w:r>
        <w:t xml:space="preserve">dołączenie Polski </w:t>
      </w:r>
      <w:r>
        <w:t>do UE, a tym samym jednolitego, unijnego rynku.</w:t>
      </w:r>
    </w:p>
    <w:p w14:paraId="5EEA9CFF" w14:textId="621FAB3E" w:rsidR="00055890" w:rsidRDefault="00B81F41" w:rsidP="00642C60">
      <w:pPr>
        <w:pStyle w:val="Tre"/>
        <w:numPr>
          <w:ilvl w:val="0"/>
          <w:numId w:val="3"/>
        </w:numPr>
        <w:spacing w:line="288" w:lineRule="auto"/>
        <w:ind w:left="426" w:hanging="426"/>
        <w:jc w:val="both"/>
      </w:pPr>
      <w:r>
        <w:t>Wymiar strukturalny. Według danych Spisu Rolnego z 2020 roku, przeciętna wielko</w:t>
      </w:r>
      <w:r w:rsidR="00642C60">
        <w:t>ś</w:t>
      </w:r>
      <w:r>
        <w:t>ć gospodarstwa rolnego w</w:t>
      </w:r>
      <w:r w:rsidR="00642C60">
        <w:t xml:space="preserve"> </w:t>
      </w:r>
      <w:r>
        <w:t>Polsce wynosi ok. 11 ha. Jest to zdecydowanie mniej ni</w:t>
      </w:r>
      <w:r w:rsidR="00642C60">
        <w:t>ż</w:t>
      </w:r>
      <w:r>
        <w:t xml:space="preserve"> </w:t>
      </w:r>
      <w:r>
        <w:rPr>
          <w:lang w:val="nl-NL"/>
        </w:rPr>
        <w:t xml:space="preserve">unijna </w:t>
      </w:r>
      <w:r w:rsidR="00642C60">
        <w:t>ś</w:t>
      </w:r>
      <w:r>
        <w:t>rednia i często wielokrotnie mniej ni</w:t>
      </w:r>
      <w:r w:rsidR="00642C60">
        <w:t>ż</w:t>
      </w:r>
      <w:r>
        <w:t xml:space="preserve"> </w:t>
      </w:r>
      <w:r>
        <w:t>w poszczeg</w:t>
      </w:r>
      <w:r w:rsidR="00642C60">
        <w:t>ólnych</w:t>
      </w:r>
      <w:r>
        <w:t xml:space="preserve"> krajach UE. Dla przykładu, we Francji, Niemczech i Danii są to warto</w:t>
      </w:r>
      <w:r w:rsidR="00642C60">
        <w:t>ś</w:t>
      </w:r>
      <w:r>
        <w:t>ci przekraczają</w:t>
      </w:r>
      <w:r>
        <w:rPr>
          <w:lang w:val="pt-PT"/>
        </w:rPr>
        <w:t xml:space="preserve">ce 60 ha. </w:t>
      </w:r>
      <w:r>
        <w:t>„Nie nale</w:t>
      </w:r>
      <w:r w:rsidR="00642C60">
        <w:t>ż</w:t>
      </w:r>
      <w:r>
        <w:t>y jednak wpadać w pułapkę dą</w:t>
      </w:r>
      <w:r w:rsidR="00642C60">
        <w:t>ż</w:t>
      </w:r>
      <w:r>
        <w:t xml:space="preserve">enia do koncentracji areału upraw jako złotego </w:t>
      </w:r>
      <w:r w:rsidR="00642C60">
        <w:t>ś</w:t>
      </w:r>
      <w:r>
        <w:t xml:space="preserve">rodka dla polskiego rolnictwa – </w:t>
      </w:r>
      <w:r>
        <w:rPr>
          <w:lang w:val="it-IT"/>
        </w:rPr>
        <w:t>nale</w:t>
      </w:r>
      <w:r w:rsidR="00642C60">
        <w:rPr>
          <w:lang w:val="it-IT"/>
        </w:rPr>
        <w:t>ży</w:t>
      </w:r>
      <w:r>
        <w:t xml:space="preserve"> docenić rolę, jaką</w:t>
      </w:r>
      <w:r>
        <w:t xml:space="preserve"> w kontek</w:t>
      </w:r>
      <w:r w:rsidR="00642C60">
        <w:t>ś</w:t>
      </w:r>
      <w:r>
        <w:t xml:space="preserve">cie bezpieczeństwa </w:t>
      </w:r>
      <w:r w:rsidR="00642C60">
        <w:lastRenderedPageBreak/>
        <w:t>ż</w:t>
      </w:r>
      <w:r>
        <w:t>ywno</w:t>
      </w:r>
      <w:r w:rsidR="00642C60">
        <w:t>ś</w:t>
      </w:r>
      <w:r>
        <w:t xml:space="preserve">ciowego pełnią gospodarstwa małe i </w:t>
      </w:r>
      <w:r w:rsidR="00642C60">
        <w:t>ś</w:t>
      </w:r>
      <w:r>
        <w:t>rednie. Nadmierna koncentracja i</w:t>
      </w:r>
      <w:r w:rsidR="00642C60">
        <w:rPr>
          <w:rFonts w:hint="eastAsia"/>
        </w:rPr>
        <w:t> </w:t>
      </w:r>
      <w:r>
        <w:t>specjalizacja produkcji, poza istotnymi korzy</w:t>
      </w:r>
      <w:r w:rsidR="00642C60">
        <w:t>ś</w:t>
      </w:r>
      <w:r>
        <w:t>ciami, zdecydowanie zmniejsza bowiem elastyczno</w:t>
      </w:r>
      <w:r w:rsidR="00642C60">
        <w:t>ś</w:t>
      </w:r>
      <w:r>
        <w:t>ć gospodarstw, odporno</w:t>
      </w:r>
      <w:r w:rsidR="00642C60">
        <w:t>ś</w:t>
      </w:r>
      <w:r>
        <w:t xml:space="preserve">ć na kryzysy oraz wahania cen na </w:t>
      </w:r>
      <w:r w:rsidR="00642C60">
        <w:t>ś</w:t>
      </w:r>
      <w:r>
        <w:t>w</w:t>
      </w:r>
      <w:r>
        <w:t>iatowych i</w:t>
      </w:r>
      <w:r w:rsidR="00642C60">
        <w:rPr>
          <w:rFonts w:hint="eastAsia"/>
        </w:rPr>
        <w:t> </w:t>
      </w:r>
      <w:r>
        <w:t>lokalnych rynkach.”</w:t>
      </w:r>
    </w:p>
    <w:p w14:paraId="6995D4E6" w14:textId="77777777" w:rsidR="00055890" w:rsidRDefault="00B81F41" w:rsidP="00642C60">
      <w:pPr>
        <w:pStyle w:val="Tre"/>
        <w:numPr>
          <w:ilvl w:val="0"/>
          <w:numId w:val="3"/>
        </w:numPr>
        <w:spacing w:line="288" w:lineRule="auto"/>
        <w:ind w:left="426" w:hanging="426"/>
        <w:jc w:val="both"/>
      </w:pPr>
      <w:r>
        <w:t>Wymiar ekonomiczny, zdrowotny i samorządowy.</w:t>
      </w:r>
    </w:p>
    <w:p w14:paraId="34157BD5" w14:textId="1F07F2A7" w:rsidR="00055890" w:rsidRDefault="00B81F41" w:rsidP="00642C60">
      <w:pPr>
        <w:pStyle w:val="Tre"/>
        <w:numPr>
          <w:ilvl w:val="0"/>
          <w:numId w:val="3"/>
        </w:numPr>
        <w:spacing w:line="288" w:lineRule="auto"/>
        <w:ind w:left="426" w:hanging="426"/>
        <w:jc w:val="both"/>
      </w:pPr>
      <w:r>
        <w:t>Studium przypadku kryzysu zbo</w:t>
      </w:r>
      <w:r w:rsidR="00642C60">
        <w:t>ż</w:t>
      </w:r>
      <w:r>
        <w:t>owego.</w:t>
      </w:r>
    </w:p>
    <w:p w14:paraId="373C7305" w14:textId="77777777" w:rsidR="00055890" w:rsidRDefault="00055890" w:rsidP="00642C60">
      <w:pPr>
        <w:pStyle w:val="Tre"/>
        <w:spacing w:line="288" w:lineRule="auto"/>
        <w:jc w:val="both"/>
      </w:pPr>
    </w:p>
    <w:p w14:paraId="25155C16" w14:textId="4FE468E2" w:rsidR="00055890" w:rsidRDefault="00B81F41" w:rsidP="00642C60">
      <w:pPr>
        <w:pStyle w:val="Tre"/>
        <w:spacing w:line="288" w:lineRule="auto"/>
        <w:jc w:val="both"/>
      </w:pPr>
      <w:r>
        <w:t>„Przeprowadzone przez nas rozwa</w:t>
      </w:r>
      <w:r w:rsidR="00642C60">
        <w:t>ż</w:t>
      </w:r>
      <w:r>
        <w:t>ania wskazują na bardzo szeroki i głęboki zakres zaniedbań instytucjonalnych, prawnych i politycznych, kt</w:t>
      </w:r>
      <w:r w:rsidR="00642C60">
        <w:t>óre</w:t>
      </w:r>
      <w:r>
        <w:t xml:space="preserve"> p</w:t>
      </w:r>
      <w:r>
        <w:t xml:space="preserve">owodują istotne osłabienie poziomu bezpieczeństwa </w:t>
      </w:r>
      <w:r w:rsidR="00642C60">
        <w:t>ż</w:t>
      </w:r>
      <w:r>
        <w:t>ywno</w:t>
      </w:r>
      <w:r w:rsidR="00642C60">
        <w:t>ś</w:t>
      </w:r>
      <w:r>
        <w:t xml:space="preserve">ciowego w Polsce. </w:t>
      </w:r>
      <w:r>
        <w:rPr>
          <w:b/>
          <w:bCs/>
        </w:rPr>
        <w:t>Za największą pora</w:t>
      </w:r>
      <w:r w:rsidR="00642C60">
        <w:rPr>
          <w:b/>
          <w:bCs/>
        </w:rPr>
        <w:t>ż</w:t>
      </w:r>
      <w:r>
        <w:rPr>
          <w:b/>
          <w:bCs/>
        </w:rPr>
        <w:t>kę ostatnich lat uznajemy brak stabilnego, profesjonalnego i ponadpartyjnego układu instytucjonalnego</w:t>
      </w:r>
      <w:r>
        <w:t>, zdolnego do takiego kreowania działań na polach licznych szc</w:t>
      </w:r>
      <w:r>
        <w:t xml:space="preserve">zegółowych polityk publicznych, </w:t>
      </w:r>
      <w:r w:rsidR="00642C60">
        <w:t>które</w:t>
      </w:r>
      <w:r w:rsidR="00642C60">
        <w:t xml:space="preserve"> </w:t>
      </w:r>
      <w:r>
        <w:t>słu</w:t>
      </w:r>
      <w:r w:rsidR="00642C60">
        <w:t>ż</w:t>
      </w:r>
      <w:r>
        <w:t>yłyby wszystkim ich interesariuszom –</w:t>
      </w:r>
      <w:r>
        <w:t xml:space="preserve"> w </w:t>
      </w:r>
      <w:r>
        <w:t>tym producentom, przetw</w:t>
      </w:r>
      <w:r w:rsidR="00642C60">
        <w:t>órcom</w:t>
      </w:r>
      <w:r>
        <w:t xml:space="preserve"> i dystrybutorom rolnym oraz konsumentom czy podatnikom”</w:t>
      </w:r>
      <w:r w:rsidR="00642C60">
        <w:t xml:space="preserve"> </w:t>
      </w:r>
      <w:r>
        <w:t>–</w:t>
      </w:r>
      <w:r w:rsidR="00642C60">
        <w:rPr>
          <w:rFonts w:hint="eastAsia"/>
        </w:rPr>
        <w:t xml:space="preserve"> </w:t>
      </w:r>
      <w:r>
        <w:t xml:space="preserve">czytamy </w:t>
      </w:r>
      <w:r>
        <w:t xml:space="preserve">w raporcie </w:t>
      </w:r>
      <w:proofErr w:type="spellStart"/>
      <w:r>
        <w:t>CPP</w:t>
      </w:r>
      <w:proofErr w:type="spellEnd"/>
      <w:r>
        <w:t xml:space="preserve"> Uniwersytetu Ekonomicznego w Krakowie.</w:t>
      </w:r>
    </w:p>
    <w:p w14:paraId="3F7A8698" w14:textId="77777777" w:rsidR="00055890" w:rsidRDefault="00055890" w:rsidP="00642C60">
      <w:pPr>
        <w:pStyle w:val="Tre"/>
        <w:spacing w:line="288" w:lineRule="auto"/>
        <w:jc w:val="both"/>
      </w:pPr>
    </w:p>
    <w:p w14:paraId="5A8A3D73" w14:textId="5F346E47" w:rsidR="00055890" w:rsidRDefault="00B81F41" w:rsidP="00642C60">
      <w:pPr>
        <w:pStyle w:val="Tre"/>
        <w:spacing w:line="288" w:lineRule="auto"/>
        <w:jc w:val="both"/>
      </w:pPr>
      <w:r>
        <w:t xml:space="preserve">Autorzy wskazują, </w:t>
      </w:r>
      <w:r w:rsidR="00642C60">
        <w:t>ż</w:t>
      </w:r>
      <w:r>
        <w:t>e zidentyfikowane przy okazji kryzysu zbo</w:t>
      </w:r>
      <w:r w:rsidR="00642C60">
        <w:t>ż</w:t>
      </w:r>
      <w:r>
        <w:t xml:space="preserve">owego </w:t>
      </w:r>
      <w:r w:rsidR="00642C60">
        <w:t xml:space="preserve">słabości </w:t>
      </w:r>
      <w:r>
        <w:t>polskiego państwa obcią</w:t>
      </w:r>
      <w:r w:rsidR="00642C60">
        <w:t>ż</w:t>
      </w:r>
      <w:r>
        <w:t>ają przede wszystkim rząd Zjednoczonej Prawicy oraz pracownik</w:t>
      </w:r>
      <w:r>
        <w:rPr>
          <w:lang w:val="es-ES_tradnl"/>
        </w:rPr>
        <w:t>ó</w:t>
      </w:r>
      <w:r>
        <w:t>w publicznych instytucji odp</w:t>
      </w:r>
      <w:r>
        <w:t>owiadających za politykę rolną (liczne urzędy i instytucje centralne oraz słu</w:t>
      </w:r>
      <w:r w:rsidR="00642C60">
        <w:t>ż</w:t>
      </w:r>
      <w:r>
        <w:t>by, inspekcje i stra</w:t>
      </w:r>
      <w:r w:rsidR="00642C60">
        <w:t>ż</w:t>
      </w:r>
      <w:r>
        <w:t>e). „Ze smutkiem przypominamy jednak wcze</w:t>
      </w:r>
      <w:r w:rsidR="00642C60">
        <w:t>ś</w:t>
      </w:r>
      <w:r>
        <w:t>niejsze, wybrane z wielu, przykłady nieco tylko mniej spektakularnych pora</w:t>
      </w:r>
      <w:r w:rsidR="00642C60">
        <w:t>ż</w:t>
      </w:r>
      <w:r>
        <w:t xml:space="preserve">ek w obszarze bezpieczeństwa </w:t>
      </w:r>
      <w:r w:rsidR="00642C60">
        <w:t>ż</w:t>
      </w:r>
      <w:r>
        <w:t>ywno</w:t>
      </w:r>
      <w:r w:rsidR="00642C60">
        <w:t>ś</w:t>
      </w:r>
      <w:r>
        <w:t>ciowe</w:t>
      </w:r>
      <w:r>
        <w:t>go: ptasia grypa (pierwsze przypadki w 2006 roku), afrykański pom</w:t>
      </w:r>
      <w:r>
        <w:rPr>
          <w:lang w:val="es-ES_tradnl"/>
        </w:rPr>
        <w:t>ó</w:t>
      </w:r>
      <w:r>
        <w:t xml:space="preserve">r </w:t>
      </w:r>
      <w:r w:rsidR="00642C60">
        <w:t>ś</w:t>
      </w:r>
      <w:r>
        <w:t>wiń (od</w:t>
      </w:r>
      <w:r w:rsidR="00642C60">
        <w:rPr>
          <w:rFonts w:hint="eastAsia"/>
        </w:rPr>
        <w:t> </w:t>
      </w:r>
      <w:r>
        <w:t>2014 roku), czy rosyjskie embargo na import warzyw i owoc</w:t>
      </w:r>
      <w:r>
        <w:rPr>
          <w:lang w:val="es-ES_tradnl"/>
        </w:rPr>
        <w:t>ó</w:t>
      </w:r>
      <w:r>
        <w:t xml:space="preserve">w z Polski z 2014 roku. Puenta daleka jest od optymizmu – </w:t>
      </w:r>
      <w:r>
        <w:rPr>
          <w:b/>
          <w:bCs/>
        </w:rPr>
        <w:t>nie tylko nie potrafimy uczyć się na swoich błędach, jak je eli</w:t>
      </w:r>
      <w:r>
        <w:rPr>
          <w:b/>
          <w:bCs/>
        </w:rPr>
        <w:t>minować, lecz kolejne popełniane przez nas błędy są coraz większe</w:t>
      </w:r>
      <w:r>
        <w:t>” –</w:t>
      </w:r>
      <w:r>
        <w:t xml:space="preserve"> konkludują</w:t>
      </w:r>
      <w:r>
        <w:t>.</w:t>
      </w:r>
    </w:p>
    <w:sectPr w:rsidR="00055890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8BEE0" w14:textId="77777777" w:rsidR="00B81F41" w:rsidRDefault="00B81F41">
      <w:r>
        <w:separator/>
      </w:r>
    </w:p>
  </w:endnote>
  <w:endnote w:type="continuationSeparator" w:id="0">
    <w:p w14:paraId="7CCD6D93" w14:textId="77777777" w:rsidR="00B81F41" w:rsidRDefault="00B81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73509" w14:textId="77777777" w:rsidR="00055890" w:rsidRDefault="0005589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44284" w14:textId="77777777" w:rsidR="00B81F41" w:rsidRDefault="00B81F41">
      <w:r>
        <w:separator/>
      </w:r>
    </w:p>
  </w:footnote>
  <w:footnote w:type="continuationSeparator" w:id="0">
    <w:p w14:paraId="7EF3DF3D" w14:textId="77777777" w:rsidR="00B81F41" w:rsidRDefault="00B81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A334D" w14:textId="77777777" w:rsidR="00055890" w:rsidRDefault="0005589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D415C"/>
    <w:multiLevelType w:val="hybridMultilevel"/>
    <w:tmpl w:val="439404E8"/>
    <w:lvl w:ilvl="0" w:tplc="02DE7E54">
      <w:start w:val="1"/>
      <w:numFmt w:val="bullet"/>
      <w:lvlText w:val=""/>
      <w:lvlJc w:val="left"/>
      <w:pPr>
        <w:ind w:left="196" w:hanging="196"/>
      </w:pPr>
      <w:rPr>
        <w:rFonts w:ascii="Wingdings" w:hAnsi="Wingdings" w:hint="default"/>
        <w:caps w:val="0"/>
        <w:smallCaps w:val="0"/>
        <w:strike w:val="0"/>
        <w:dstrike w:val="0"/>
        <w:outline w:val="0"/>
        <w:emboss w:val="0"/>
        <w:imprint w:val="0"/>
        <w:color w:val="92D05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bullet"/>
      <w:lvlText w:val="*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FFFFFFFF">
      <w:start w:val="1"/>
      <w:numFmt w:val="bullet"/>
      <w:lvlText w:val="*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FFFFFFFF">
      <w:start w:val="1"/>
      <w:numFmt w:val="bullet"/>
      <w:lvlText w:val="*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FFFFFFFF">
      <w:start w:val="1"/>
      <w:numFmt w:val="bullet"/>
      <w:lvlText w:val="*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FFFFFFFF">
      <w:start w:val="1"/>
      <w:numFmt w:val="bullet"/>
      <w:lvlText w:val="*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FFFFFFFF">
      <w:start w:val="1"/>
      <w:numFmt w:val="bullet"/>
      <w:lvlText w:val="*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FFFFFFFF">
      <w:start w:val="1"/>
      <w:numFmt w:val="bullet"/>
      <w:lvlText w:val="*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FFFFFFFF">
      <w:start w:val="1"/>
      <w:numFmt w:val="bullet"/>
      <w:lvlText w:val="*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1F344D87"/>
    <w:multiLevelType w:val="hybridMultilevel"/>
    <w:tmpl w:val="E57AF938"/>
    <w:styleLink w:val="Punktor"/>
    <w:lvl w:ilvl="0" w:tplc="5BD0986A">
      <w:start w:val="1"/>
      <w:numFmt w:val="bullet"/>
      <w:lvlText w:val="*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C4ED12">
      <w:start w:val="1"/>
      <w:numFmt w:val="bullet"/>
      <w:lvlText w:val="*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49FEE736">
      <w:start w:val="1"/>
      <w:numFmt w:val="bullet"/>
      <w:lvlText w:val="*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7F38FB3C">
      <w:start w:val="1"/>
      <w:numFmt w:val="bullet"/>
      <w:lvlText w:val="*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F9C46FB8">
      <w:start w:val="1"/>
      <w:numFmt w:val="bullet"/>
      <w:lvlText w:val="*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7CB811A0">
      <w:start w:val="1"/>
      <w:numFmt w:val="bullet"/>
      <w:lvlText w:val="*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779AC566">
      <w:start w:val="1"/>
      <w:numFmt w:val="bullet"/>
      <w:lvlText w:val="*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596AD298">
      <w:start w:val="1"/>
      <w:numFmt w:val="bullet"/>
      <w:lvlText w:val="*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A212343E">
      <w:start w:val="1"/>
      <w:numFmt w:val="bullet"/>
      <w:lvlText w:val="*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 w15:restartNumberingAfterBreak="0">
    <w:nsid w:val="26721C20"/>
    <w:multiLevelType w:val="hybridMultilevel"/>
    <w:tmpl w:val="E57AF938"/>
    <w:numStyleLink w:val="Punktor"/>
  </w:abstractNum>
  <w:num w:numId="1" w16cid:durableId="926186959">
    <w:abstractNumId w:val="1"/>
  </w:num>
  <w:num w:numId="2" w16cid:durableId="727338331">
    <w:abstractNumId w:val="2"/>
  </w:num>
  <w:num w:numId="3" w16cid:durableId="802819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890"/>
    <w:rsid w:val="00055890"/>
    <w:rsid w:val="00642C60"/>
    <w:rsid w:val="00B8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F5E7E"/>
  <w15:docId w15:val="{428E4D2E-E0FB-4B2D-AEEB-8FD14B3B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Punktor">
    <w:name w:val="Punktor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3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636</Words>
  <Characters>3817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mk2</dc:creator>
  <cp:lastModifiedBy>Marcin Kukiełka</cp:lastModifiedBy>
  <cp:revision>2</cp:revision>
  <dcterms:created xsi:type="dcterms:W3CDTF">2023-10-18T20:02:00Z</dcterms:created>
  <dcterms:modified xsi:type="dcterms:W3CDTF">2023-10-18T20:02:00Z</dcterms:modified>
</cp:coreProperties>
</file>