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239" w14:textId="11969F73" w:rsidR="008822A2" w:rsidRDefault="00952759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 xml:space="preserve">Odporność </w:t>
      </w:r>
      <w:r w:rsidR="00442ECA">
        <w:rPr>
          <w:b/>
          <w:bCs/>
        </w:rPr>
        <w:t>–</w:t>
      </w:r>
      <w:r>
        <w:rPr>
          <w:b/>
          <w:bCs/>
        </w:rPr>
        <w:t xml:space="preserve"> to</w:t>
      </w:r>
      <w:r w:rsidR="00442ECA">
        <w:rPr>
          <w:b/>
          <w:bCs/>
        </w:rPr>
        <w:t xml:space="preserve"> </w:t>
      </w:r>
      <w:r>
        <w:rPr>
          <w:b/>
          <w:bCs/>
        </w:rPr>
        <w:t>temat najnowszego raportu Centrum Polityk Publicznych</w:t>
      </w:r>
      <w:r w:rsidR="008A6492">
        <w:rPr>
          <w:rStyle w:val="Odwoanieprzypisudolnego"/>
          <w:rFonts w:hint="eastAsia"/>
          <w:b/>
          <w:bCs/>
        </w:rPr>
        <w:footnoteReference w:id="1"/>
      </w:r>
      <w:r w:rsidR="00442ECA">
        <w:rPr>
          <w:b/>
          <w:bCs/>
        </w:rPr>
        <w:t xml:space="preserve">. </w:t>
      </w:r>
      <w:r>
        <w:rPr>
          <w:b/>
          <w:bCs/>
        </w:rPr>
        <w:t>Polityka prowadzona w duchu odporności państwa wobec różnych szok</w:t>
      </w:r>
      <w:r>
        <w:rPr>
          <w:b/>
          <w:bCs/>
          <w:lang w:val="es-ES_tradnl"/>
        </w:rPr>
        <w:t>ó</w:t>
      </w:r>
      <w:r>
        <w:rPr>
          <w:b/>
          <w:bCs/>
        </w:rPr>
        <w:t>w wewnętrznych i</w:t>
      </w:r>
      <w:r w:rsidR="00442ECA">
        <w:rPr>
          <w:rFonts w:hint="eastAsia"/>
          <w:b/>
          <w:bCs/>
        </w:rPr>
        <w:t> </w:t>
      </w:r>
      <w:r>
        <w:rPr>
          <w:b/>
          <w:bCs/>
        </w:rPr>
        <w:t xml:space="preserve">zewnętrznych będzie odgrywać coraz większe znaczenie </w:t>
      </w:r>
      <w:r w:rsidR="00442ECA">
        <w:rPr>
          <w:b/>
          <w:bCs/>
        </w:rPr>
        <w:t>–</w:t>
      </w:r>
      <w:r>
        <w:rPr>
          <w:b/>
          <w:bCs/>
        </w:rPr>
        <w:t xml:space="preserve"> przekonują</w:t>
      </w:r>
      <w:r w:rsidR="00442ECA">
        <w:rPr>
          <w:b/>
          <w:bCs/>
        </w:rPr>
        <w:t xml:space="preserve"> </w:t>
      </w:r>
      <w:r>
        <w:rPr>
          <w:b/>
          <w:bCs/>
        </w:rPr>
        <w:t xml:space="preserve">eksperci związani z </w:t>
      </w:r>
      <w:proofErr w:type="spellStart"/>
      <w:r>
        <w:rPr>
          <w:b/>
          <w:bCs/>
        </w:rPr>
        <w:t>CPP</w:t>
      </w:r>
      <w:proofErr w:type="spellEnd"/>
      <w:r>
        <w:rPr>
          <w:b/>
          <w:bCs/>
        </w:rPr>
        <w:t xml:space="preserve"> Uniwersytetu Ekonomicznego w Krakowie.</w:t>
      </w:r>
    </w:p>
    <w:p w14:paraId="65850BBD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3C2032FE" w14:textId="06C244C3" w:rsidR="008822A2" w:rsidRDefault="00952759" w:rsidP="00442ECA">
      <w:pPr>
        <w:pStyle w:val="Tre"/>
        <w:spacing w:line="288" w:lineRule="auto"/>
        <w:rPr>
          <w:rFonts w:hint="eastAsia"/>
        </w:rPr>
      </w:pPr>
      <w:r>
        <w:t>„Traktujemy niniejszy dokument jako swoisty raport otwarcia. W przyszłości planujemy przyjrzeć się z bliska różnym, nie zawsze intuicyjnym wymiarom bezpieczeństwa, takim jak choćby edukacja, rynek żywności, rynek nowych technologii czy nawet rynek pracy. Jesteśmy bowiem przekonani, ż</w:t>
      </w:r>
      <w:r>
        <w:rPr>
          <w:lang w:val="es-ES_tradnl"/>
        </w:rPr>
        <w:t xml:space="preserve">e idea </w:t>
      </w:r>
      <w:r w:rsidRPr="00442ECA">
        <w:rPr>
          <w:i/>
          <w:iCs/>
          <w:lang w:val="en-US"/>
        </w:rPr>
        <w:t>resilience</w:t>
      </w:r>
      <w:r>
        <w:t xml:space="preserve"> stojąca u podstaw aktywnej polityki proodpornościowej jest właściwym kluczem do opisywania pożądanej </w:t>
      </w:r>
      <w:proofErr w:type="spellStart"/>
      <w:r>
        <w:t>aktywnoś</w:t>
      </w:r>
      <w:proofErr w:type="spellEnd"/>
      <w:r>
        <w:rPr>
          <w:lang w:val="it-IT"/>
        </w:rPr>
        <w:t>ci pa</w:t>
      </w:r>
      <w:proofErr w:type="spellStart"/>
      <w:r>
        <w:t>ństwa</w:t>
      </w:r>
      <w:proofErr w:type="spellEnd"/>
      <w:r>
        <w:t xml:space="preserve"> w najbliższych latach” </w:t>
      </w:r>
      <w:r w:rsidR="00442ECA">
        <w:t>–</w:t>
      </w:r>
      <w:r>
        <w:t xml:space="preserve"> przekonują</w:t>
      </w:r>
      <w:r w:rsidR="00442ECA">
        <w:t xml:space="preserve"> </w:t>
      </w:r>
      <w:r>
        <w:t>autorzy raportu</w:t>
      </w:r>
      <w:r w:rsidR="00442ECA">
        <w:t>:</w:t>
      </w:r>
      <w:r>
        <w:t xml:space="preserve"> </w:t>
      </w:r>
      <w:r w:rsidR="00442ECA">
        <w:t>Bartłomiej Biga, Maciej Frączek, Maciej Grodzicki, Marcin Kędzierski (red.), Michał Możdżeń, Marek Oramus, Michał Żabiński.</w:t>
      </w:r>
    </w:p>
    <w:p w14:paraId="3A51123D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53359170" w14:textId="29F16A08" w:rsidR="008822A2" w:rsidRDefault="00952759">
      <w:pPr>
        <w:pStyle w:val="Tre"/>
        <w:spacing w:line="288" w:lineRule="auto"/>
        <w:rPr>
          <w:rFonts w:hint="eastAsia"/>
        </w:rPr>
      </w:pPr>
      <w:r>
        <w:t xml:space="preserve">Co zbadali? Sprawdzili pojęcie </w:t>
      </w:r>
      <w:r w:rsidRPr="00442ECA">
        <w:rPr>
          <w:i/>
          <w:iCs/>
        </w:rPr>
        <w:t>resilience</w:t>
      </w:r>
      <w:r>
        <w:t xml:space="preserve"> (odporności) w odniesieniu do państwa, a więc jego zdolności do reagowania na ekonomiczne szoki: katastrofy naturalne, konflikty</w:t>
      </w:r>
      <w:r w:rsidR="00442ECA">
        <w:t xml:space="preserve"> </w:t>
      </w:r>
      <w:r>
        <w:t>zbrojne, kryzysy gospodarcze/finansowe, czy pandemie.</w:t>
      </w:r>
    </w:p>
    <w:p w14:paraId="49196960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6EEC7318" w14:textId="54B03E72" w:rsidR="008822A2" w:rsidRDefault="00952759">
      <w:pPr>
        <w:pStyle w:val="Tre"/>
        <w:spacing w:line="288" w:lineRule="auto"/>
        <w:rPr>
          <w:rFonts w:hint="eastAsia"/>
        </w:rPr>
      </w:pPr>
      <w:r>
        <w:t>„</w:t>
      </w:r>
      <w:r>
        <w:rPr>
          <w:b/>
          <w:bCs/>
        </w:rPr>
        <w:t xml:space="preserve">Wydarzenia ostatnich kilku lat sprawiły, że do debaty publicznej na dobre </w:t>
      </w:r>
      <w:proofErr w:type="spellStart"/>
      <w:r>
        <w:rPr>
          <w:b/>
          <w:bCs/>
        </w:rPr>
        <w:t>powr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ciło</w:t>
      </w:r>
      <w:proofErr w:type="spellEnd"/>
      <w:r>
        <w:rPr>
          <w:b/>
          <w:bCs/>
        </w:rPr>
        <w:t xml:space="preserve"> słowo bezpieczeństwo, i to w różnych kontekstach: bezpieczeństwa militarnego, zdrowotnego, energetycznego etc.</w:t>
      </w:r>
      <w:r>
        <w:t xml:space="preserve"> Co warte podkreślenia, nasze rozumienie wspomnianych pojęć, a tym samym percepcja związanych z nimi zagrożeń, ewoluuje w czasie. Dla przykładu, </w:t>
      </w:r>
      <w:r>
        <w:rPr>
          <w:b/>
          <w:bCs/>
        </w:rPr>
        <w:t xml:space="preserve">przed pandemią </w:t>
      </w:r>
      <w:r>
        <w:rPr>
          <w:b/>
          <w:bCs/>
          <w:lang w:val="da-DK"/>
        </w:rPr>
        <w:t>COVID-19 ma</w:t>
      </w:r>
      <w:proofErr w:type="spellStart"/>
      <w:r>
        <w:rPr>
          <w:b/>
          <w:bCs/>
        </w:rPr>
        <w:t>ło</w:t>
      </w:r>
      <w:proofErr w:type="spellEnd"/>
      <w:r>
        <w:rPr>
          <w:b/>
          <w:bCs/>
        </w:rPr>
        <w:t xml:space="preserve"> kto przejmował się ryzykiem związanym z transmisją </w:t>
      </w:r>
      <w:proofErr w:type="spellStart"/>
      <w:r>
        <w:rPr>
          <w:b/>
          <w:bCs/>
        </w:rPr>
        <w:t>chor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b zakaźnych. Podobnie zresztą jak przed wybuchem wojny w Ukrainie mało kto w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  <w:lang w:val="en-US"/>
        </w:rPr>
        <w:t>le my</w:t>
      </w:r>
      <w:proofErr w:type="spellStart"/>
      <w:r>
        <w:rPr>
          <w:b/>
          <w:bCs/>
        </w:rPr>
        <w:t>ślał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dostępnoś</w:t>
      </w:r>
      <w:proofErr w:type="spellEnd"/>
      <w:r>
        <w:rPr>
          <w:b/>
          <w:bCs/>
          <w:lang w:val="de-DE"/>
        </w:rPr>
        <w:t xml:space="preserve">ci </w:t>
      </w:r>
      <w:proofErr w:type="spellStart"/>
      <w:r>
        <w:rPr>
          <w:b/>
          <w:bCs/>
          <w:lang w:val="de-DE"/>
        </w:rPr>
        <w:t>schron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</w:t>
      </w:r>
      <w:proofErr w:type="spellStart"/>
      <w:r>
        <w:rPr>
          <w:b/>
          <w:bCs/>
        </w:rPr>
        <w:t>w</w:t>
      </w:r>
      <w:proofErr w:type="spellEnd"/>
      <w:r w:rsidR="00442ECA">
        <w:rPr>
          <w:rFonts w:hint="eastAsia"/>
          <w:b/>
          <w:bCs/>
        </w:rPr>
        <w:t> </w:t>
      </w:r>
      <w:r>
        <w:rPr>
          <w:b/>
          <w:bCs/>
        </w:rPr>
        <w:t>najbliższej okolicy</w:t>
      </w:r>
      <w:r>
        <w:t xml:space="preserve">” </w:t>
      </w:r>
      <w:r w:rsidR="00442ECA">
        <w:t>–</w:t>
      </w:r>
      <w:r>
        <w:t xml:space="preserve"> czytamy w raporcie.</w:t>
      </w:r>
    </w:p>
    <w:p w14:paraId="00085D27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5BEA5757" w14:textId="481E6F88" w:rsidR="008822A2" w:rsidRDefault="00952759">
      <w:pPr>
        <w:pStyle w:val="Tre"/>
        <w:spacing w:line="288" w:lineRule="auto"/>
        <w:rPr>
          <w:rFonts w:hint="eastAsia"/>
        </w:rPr>
      </w:pPr>
      <w:r>
        <w:t xml:space="preserve">Z opracowania wynika </w:t>
      </w:r>
      <w:r>
        <w:rPr>
          <w:lang w:val="it-IT"/>
        </w:rPr>
        <w:t>tez</w:t>
      </w:r>
      <w:r>
        <w:t xml:space="preserve">a, że polityczna agenda w trzeciej dekadzie XXI wieku będzie determinowana przez społeczną percepcję zagrożeń, a dokładniej </w:t>
      </w:r>
      <w:r w:rsidR="00442ECA">
        <w:t>–</w:t>
      </w:r>
      <w:r>
        <w:t xml:space="preserve"> przez wynikające z</w:t>
      </w:r>
      <w:r w:rsidR="00442ECA">
        <w:rPr>
          <w:rFonts w:hint="eastAsia"/>
        </w:rPr>
        <w:t> </w:t>
      </w:r>
      <w:r>
        <w:t>nich oczekiwania wobec rządzących.</w:t>
      </w:r>
    </w:p>
    <w:p w14:paraId="48258AF5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6350C520" w14:textId="77777777" w:rsidR="008822A2" w:rsidRDefault="00952759">
      <w:pPr>
        <w:pStyle w:val="Tre"/>
        <w:spacing w:line="288" w:lineRule="auto"/>
        <w:rPr>
          <w:rFonts w:hint="eastAsia"/>
        </w:rPr>
      </w:pPr>
      <w:r>
        <w:t xml:space="preserve">Czy jesteśmy odporni? „Trzeba mieć świadomość, że przekierowanie w najbliższych latach dodatkowych 5% PKB (łącznie) na trzy cele: wojsko, ochronę zdrowia i energetykę, w naturalny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musi skutkować ograniczeniem </w:t>
      </w:r>
      <w:proofErr w:type="spellStart"/>
      <w:r>
        <w:t>wydatk</w:t>
      </w:r>
      <w:proofErr w:type="spellEnd"/>
      <w:r>
        <w:rPr>
          <w:lang w:val="es-ES_tradnl"/>
        </w:rPr>
        <w:t>ó</w:t>
      </w:r>
      <w:r>
        <w:t>w na inne obszary, a co najmniej – brakiem perspektyw zwiększenia na nie nakład</w:t>
      </w:r>
      <w:r>
        <w:rPr>
          <w:lang w:val="es-ES_tradnl"/>
        </w:rPr>
        <w:t>ó</w:t>
      </w:r>
      <w:r>
        <w:t xml:space="preserve">w. Ta informacja jest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r>
        <w:t xml:space="preserve">lnie ważna dla sektora edukacji – bez zwiększenia budżetowego tortu będzie szalenie trudno wysupłać dodatkowe miliardy na doinwestowanie szkół,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dziś ledwo zipią.”</w:t>
      </w:r>
    </w:p>
    <w:p w14:paraId="2CA73A96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267F5DCB" w14:textId="77777777" w:rsidR="008822A2" w:rsidRDefault="00952759">
      <w:pPr>
        <w:pStyle w:val="Tre"/>
        <w:spacing w:line="288" w:lineRule="auto"/>
        <w:rPr>
          <w:rFonts w:hint="eastAsia"/>
        </w:rPr>
      </w:pPr>
      <w:r>
        <w:t xml:space="preserve">Przy tym trzeba też pamiętać, że „dla </w:t>
      </w:r>
      <w:proofErr w:type="spellStart"/>
      <w:r>
        <w:t>odpornoś</w:t>
      </w:r>
      <w:proofErr w:type="spellEnd"/>
      <w:r>
        <w:rPr>
          <w:lang w:val="it-IT"/>
        </w:rPr>
        <w:t>ci pa</w:t>
      </w:r>
      <w:proofErr w:type="spellStart"/>
      <w:r>
        <w:t>ństwa</w:t>
      </w:r>
      <w:proofErr w:type="spellEnd"/>
      <w:r>
        <w:t xml:space="preserve"> i jego obywateli znaczenie odgrywają także dostępne, rozbudowane i wysokiej jakości usługi publiczne,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przekładają się na bezpieczeństwo mieszkaniowe, transportowe, socjalne (w tym emerytalne) czy żywnościowe.”</w:t>
      </w:r>
    </w:p>
    <w:p w14:paraId="7F3DEB4A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05787F15" w14:textId="3441A429" w:rsidR="008822A2" w:rsidRDefault="00952759">
      <w:pPr>
        <w:pStyle w:val="Tre"/>
        <w:spacing w:line="288" w:lineRule="auto"/>
        <w:rPr>
          <w:rFonts w:hint="eastAsia"/>
        </w:rPr>
      </w:pPr>
      <w:r>
        <w:lastRenderedPageBreak/>
        <w:t>Eksperci analizują więc odporność państwa w kilku perspektywach, m.in. bezpieczeństwa narodowego, socjalnego, publicznego. Sprawdzają też politykę proodpornościową z</w:t>
      </w:r>
      <w:r w:rsidR="00442ECA">
        <w:rPr>
          <w:rFonts w:hint="eastAsia"/>
        </w:rPr>
        <w:t> </w:t>
      </w:r>
      <w:r>
        <w:t>perspektywy finansów publicznych i bezpieczeństwa fiskalnego. Oceniają rolę sektora publicznego w prowadzeniu proodpornościowej polityki bezpieczeństwa, energetyki i</w:t>
      </w:r>
      <w:r w:rsidR="00442ECA">
        <w:rPr>
          <w:rFonts w:hint="eastAsia"/>
        </w:rPr>
        <w:t> </w:t>
      </w:r>
      <w:r>
        <w:t>ochrony zdrowia.</w:t>
      </w:r>
    </w:p>
    <w:p w14:paraId="7AAFEC37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4A0604E6" w14:textId="77777777" w:rsidR="008822A2" w:rsidRDefault="00952759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>Kilka konkluzji:</w:t>
      </w:r>
    </w:p>
    <w:p w14:paraId="63F6BC67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0BA694E3" w14:textId="12F1D000" w:rsidR="008822A2" w:rsidRDefault="00952759" w:rsidP="00442ECA">
      <w:pPr>
        <w:pStyle w:val="Tre"/>
        <w:numPr>
          <w:ilvl w:val="0"/>
          <w:numId w:val="4"/>
        </w:numPr>
        <w:spacing w:line="288" w:lineRule="auto"/>
        <w:rPr>
          <w:rFonts w:hint="eastAsia"/>
        </w:rPr>
      </w:pPr>
      <w:r>
        <w:t>Opierając się na naszych ocenach wspieranych głosami zewnętrznych ekspert</w:t>
      </w:r>
      <w:r>
        <w:rPr>
          <w:lang w:val="es-ES_tradnl"/>
        </w:rPr>
        <w:t>ó</w:t>
      </w:r>
      <w:r>
        <w:t>w – nawet radykalne zwiększenie budżetu na obronność nie pozwoli na r</w:t>
      </w:r>
      <w:r>
        <w:rPr>
          <w:lang w:val="es-ES_tradnl"/>
        </w:rPr>
        <w:t>ó</w:t>
      </w:r>
      <w:proofErr w:type="spellStart"/>
      <w:r>
        <w:t>wnoczesne</w:t>
      </w:r>
      <w:proofErr w:type="spellEnd"/>
      <w:r>
        <w:t xml:space="preserve"> zaspokojenie wszystkich oczekiwań co </w:t>
      </w:r>
      <w:r w:rsidR="00F43669">
        <w:t xml:space="preserve">do </w:t>
      </w:r>
      <w:r>
        <w:t xml:space="preserve">kadry i sprzętu wojskowego. Trzeba więc </w:t>
      </w:r>
      <w:r>
        <w:rPr>
          <w:b/>
          <w:bCs/>
        </w:rPr>
        <w:t>będzie umiejętnie balansować w triadzie: nowi żołnierze – nowy sprzęt – nowe środki finansowe</w:t>
      </w:r>
      <w:r>
        <w:t>. Nie możemy bezrefleksyjnie kupować „z półki” całego dostępnego i</w:t>
      </w:r>
      <w:r w:rsidR="00F43669">
        <w:rPr>
          <w:rFonts w:hint="eastAsia"/>
        </w:rPr>
        <w:t> </w:t>
      </w:r>
      <w:r>
        <w:t>koniecznego z perspektywy bezpieczeństwa militarnego sprzętu wojskowego. Nie</w:t>
      </w:r>
      <w:r w:rsidR="00F43669">
        <w:rPr>
          <w:rFonts w:hint="eastAsia"/>
        </w:rPr>
        <w:t> </w:t>
      </w:r>
      <w:r>
        <w:t>mamy bowiem ani tylu pieniędzy, ani tylu przeszkolonych żołnierzy do jego obsługi.</w:t>
      </w:r>
    </w:p>
    <w:p w14:paraId="10AA774C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76AF663D" w14:textId="77777777" w:rsidR="008822A2" w:rsidRDefault="00952759" w:rsidP="00442ECA">
      <w:pPr>
        <w:pStyle w:val="Tre"/>
        <w:numPr>
          <w:ilvl w:val="0"/>
          <w:numId w:val="4"/>
        </w:numPr>
        <w:spacing w:line="288" w:lineRule="auto"/>
        <w:rPr>
          <w:rFonts w:hint="eastAsia"/>
        </w:rPr>
      </w:pPr>
      <w:r>
        <w:t>Eksperci w trakcie wywiad</w:t>
      </w:r>
      <w:r>
        <w:rPr>
          <w:lang w:val="es-ES_tradnl"/>
        </w:rPr>
        <w:t>ó</w:t>
      </w:r>
      <w:r>
        <w:t xml:space="preserve">w bardzo dobitnie </w:t>
      </w:r>
      <w:proofErr w:type="spellStart"/>
      <w:r>
        <w:t>podkreś</w:t>
      </w:r>
      <w:proofErr w:type="spellEnd"/>
      <w:r>
        <w:rPr>
          <w:lang w:val="it-IT"/>
        </w:rPr>
        <w:t xml:space="preserve">lali: </w:t>
      </w:r>
      <w:r>
        <w:rPr>
          <w:b/>
          <w:bCs/>
        </w:rPr>
        <w:t>nie patrzmy na przyszłość naszej armii przez pryzmat liczebności. Nie fascynujmy się też zakupami sprzętu wojskowego</w:t>
      </w:r>
      <w:r>
        <w:t xml:space="preserve"> i wielkością kwot,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mają być przeznaczone na modernizację armii. Myślmy przede wszystkim kategoriami zwiększania zdolności operacyjnych naszego wojska.</w:t>
      </w:r>
    </w:p>
    <w:p w14:paraId="41F224E0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017D82D1" w14:textId="77777777" w:rsidR="008822A2" w:rsidRPr="00952759" w:rsidRDefault="00952759" w:rsidP="00442ECA">
      <w:pPr>
        <w:pStyle w:val="Tre"/>
        <w:numPr>
          <w:ilvl w:val="0"/>
          <w:numId w:val="4"/>
        </w:numPr>
        <w:spacing w:line="288" w:lineRule="auto"/>
        <w:rPr>
          <w:rFonts w:hint="eastAsia"/>
        </w:rPr>
      </w:pPr>
      <w:r>
        <w:t>Ostatnie kilka lat z pandemią COVID-19 i wojną na Ukrainie na czele dobitnie bowiem pokazały, że nie można bagatelizować ryzyka bardzo silnych negatywnych szok</w:t>
      </w:r>
      <w:r>
        <w:rPr>
          <w:lang w:val="es-ES_tradnl"/>
        </w:rPr>
        <w:t>ó</w:t>
      </w:r>
      <w:r>
        <w:t xml:space="preserve">w, mających wpływ nie tylko na całą gospodarkę, ale i </w:t>
      </w:r>
      <w:proofErr w:type="spellStart"/>
      <w:r>
        <w:t>pob</w:t>
      </w:r>
      <w:proofErr w:type="spellEnd"/>
      <w:r>
        <w:rPr>
          <w:lang w:val="es-ES_tradnl"/>
        </w:rPr>
        <w:t>ó</w:t>
      </w:r>
      <w:r>
        <w:t>r mocy. Obecnie wydaje się, że w najbliższych latach w polskiej polityce dominującą rolę odgrywać będzie wątek gospodarczy, zwłaszcza wraz ze spodziewaną recesją, i to połączoną z wysoką inflacją, wynikającą po części z rosnących koszt</w:t>
      </w:r>
      <w:r>
        <w:rPr>
          <w:lang w:val="es-ES_tradnl"/>
        </w:rPr>
        <w:t>ó</w:t>
      </w:r>
      <w:r>
        <w:t xml:space="preserve">w energii. </w:t>
      </w:r>
      <w:r>
        <w:rPr>
          <w:b/>
          <w:bCs/>
        </w:rPr>
        <w:t xml:space="preserve">Sztuczne zamrażanie cen energii dla </w:t>
      </w:r>
      <w:proofErr w:type="spellStart"/>
      <w:r>
        <w:rPr>
          <w:b/>
          <w:bCs/>
        </w:rPr>
        <w:t>odbiorc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prywatnych może działać tylko na kr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tką</w:t>
      </w:r>
      <w:proofErr w:type="spellEnd"/>
      <w:r>
        <w:rPr>
          <w:b/>
          <w:bCs/>
        </w:rPr>
        <w:t xml:space="preserve"> metę</w:t>
      </w:r>
      <w:r w:rsidRPr="00952759">
        <w:t>.</w:t>
      </w:r>
    </w:p>
    <w:p w14:paraId="47102C72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5285E4CF" w14:textId="77777777" w:rsidR="008822A2" w:rsidRDefault="00952759" w:rsidP="00442ECA">
      <w:pPr>
        <w:pStyle w:val="Tre"/>
        <w:numPr>
          <w:ilvl w:val="0"/>
          <w:numId w:val="4"/>
        </w:numPr>
        <w:spacing w:line="288" w:lineRule="auto"/>
        <w:rPr>
          <w:rFonts w:hint="eastAsia"/>
        </w:rPr>
      </w:pPr>
      <w:r>
        <w:t xml:space="preserve">W długim horyzoncie czasowym niezbędna będzie jednak realizacja ponad podziałami politycznymi kluczowych inwestycji, m.in. w energetykę jądrową, ale i np. dalszą modernizację sieci przesyłowych. Dla zapewnienia bezpieczeństwa energetycznego </w:t>
      </w:r>
      <w:r>
        <w:rPr>
          <w:b/>
          <w:bCs/>
        </w:rPr>
        <w:t xml:space="preserve">konieczne jest porzucenie tradycji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Polski resortowej” i budowanie szerokich partnerstw</w:t>
      </w:r>
      <w:r>
        <w:t>.</w:t>
      </w:r>
    </w:p>
    <w:p w14:paraId="75A7C4DE" w14:textId="77777777" w:rsidR="008822A2" w:rsidRDefault="008822A2">
      <w:pPr>
        <w:pStyle w:val="Tre"/>
        <w:spacing w:line="288" w:lineRule="auto"/>
        <w:rPr>
          <w:rFonts w:hint="eastAsia"/>
        </w:rPr>
      </w:pPr>
    </w:p>
    <w:p w14:paraId="40387987" w14:textId="77777777" w:rsidR="008822A2" w:rsidRDefault="00952759" w:rsidP="00442ECA">
      <w:pPr>
        <w:pStyle w:val="Tre"/>
        <w:numPr>
          <w:ilvl w:val="0"/>
          <w:numId w:val="4"/>
        </w:numPr>
        <w:spacing w:line="288" w:lineRule="auto"/>
        <w:rPr>
          <w:rFonts w:hint="eastAsia"/>
        </w:rPr>
      </w:pPr>
      <w:r>
        <w:t xml:space="preserve">Niezależnie od tego, czy i w jakim tempie będziemy zwiększać publiczne wydatki na ochronę zdrowia, </w:t>
      </w:r>
      <w:r>
        <w:rPr>
          <w:b/>
          <w:bCs/>
        </w:rPr>
        <w:t>radykalne dofinansowanie systemu jest absolutną koniecznością</w:t>
      </w:r>
      <w:r>
        <w:t xml:space="preserve"> – pod tym względem jesteśmy na szarym europejskim koń</w:t>
      </w:r>
      <w:r>
        <w:rPr>
          <w:lang w:val="it-IT"/>
        </w:rPr>
        <w:t>cu</w:t>
      </w:r>
    </w:p>
    <w:sectPr w:rsidR="008822A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48FB" w14:textId="77777777" w:rsidR="00570362" w:rsidRDefault="00952759">
      <w:r>
        <w:separator/>
      </w:r>
    </w:p>
  </w:endnote>
  <w:endnote w:type="continuationSeparator" w:id="0">
    <w:p w14:paraId="066D5179" w14:textId="77777777" w:rsidR="00570362" w:rsidRDefault="0095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379E" w14:textId="77777777" w:rsidR="008822A2" w:rsidRDefault="00882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F3B4" w14:textId="77777777" w:rsidR="00570362" w:rsidRDefault="00952759">
      <w:r>
        <w:separator/>
      </w:r>
    </w:p>
  </w:footnote>
  <w:footnote w:type="continuationSeparator" w:id="0">
    <w:p w14:paraId="270EB9AF" w14:textId="77777777" w:rsidR="00570362" w:rsidRDefault="00952759">
      <w:r>
        <w:continuationSeparator/>
      </w:r>
    </w:p>
  </w:footnote>
  <w:footnote w:id="1">
    <w:p w14:paraId="5A6FB0CA" w14:textId="2DCF12B4" w:rsidR="008A6492" w:rsidRPr="00B46970" w:rsidRDefault="008A6492">
      <w:pPr>
        <w:pStyle w:val="Tekstprzypisudolnego"/>
        <w:rPr>
          <w:rFonts w:ascii="Calibri" w:hAnsi="Calibri" w:cs="Calibri"/>
          <w:lang w:val="pl-PL"/>
        </w:rPr>
      </w:pPr>
      <w:r w:rsidRPr="00B46970">
        <w:rPr>
          <w:rStyle w:val="Odwoanieprzypisudolnego"/>
          <w:rFonts w:ascii="Calibri" w:hAnsi="Calibri" w:cs="Calibri"/>
        </w:rPr>
        <w:footnoteRef/>
      </w:r>
      <w:r w:rsidRPr="00B46970">
        <w:rPr>
          <w:rFonts w:ascii="Calibri" w:hAnsi="Calibri" w:cs="Calibri"/>
        </w:rPr>
        <w:t xml:space="preserve"> </w:t>
      </w:r>
      <w:r w:rsidR="00B46970" w:rsidRPr="00B46970">
        <w:rPr>
          <w:rFonts w:ascii="Calibri" w:hAnsi="Calibri" w:cs="Calibri"/>
          <w:lang w:val="pl-PL"/>
        </w:rPr>
        <w:t>Tytuł raportu: „</w:t>
      </w:r>
      <w:r w:rsidR="00B46970" w:rsidRPr="00B46970">
        <w:rPr>
          <w:rFonts w:ascii="Calibri" w:hAnsi="Calibri" w:cs="Calibri"/>
          <w:lang w:val="pl-PL"/>
        </w:rPr>
        <w:t xml:space="preserve">Suma wszystkich strachów. Polityka proodpornościowa jako odpowiedź na czasy </w:t>
      </w:r>
      <w:proofErr w:type="spellStart"/>
      <w:r w:rsidR="00B46970" w:rsidRPr="00B46970">
        <w:rPr>
          <w:rFonts w:ascii="Calibri" w:hAnsi="Calibri" w:cs="Calibri"/>
          <w:lang w:val="pl-PL"/>
        </w:rPr>
        <w:t>polikryzysu</w:t>
      </w:r>
      <w:proofErr w:type="spellEnd"/>
      <w:r w:rsidR="00B46970" w:rsidRPr="00B46970">
        <w:rPr>
          <w:rFonts w:ascii="Calibri" w:hAnsi="Calibri" w:cs="Calibri"/>
          <w:lang w:val="pl-PL"/>
        </w:rPr>
        <w:t>”</w:t>
      </w:r>
      <w:r w:rsidR="00B46970">
        <w:rPr>
          <w:rFonts w:ascii="Calibri" w:hAnsi="Calibri"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79A" w14:textId="77777777" w:rsidR="008822A2" w:rsidRDefault="00882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153"/>
    <w:multiLevelType w:val="hybridMultilevel"/>
    <w:tmpl w:val="4BA09998"/>
    <w:styleLink w:val="Punktor"/>
    <w:lvl w:ilvl="0" w:tplc="ED7C4CD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C85A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8AF5B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464872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A50990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CC8D0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0203A0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A4EDB3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C5651E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DEF6C32"/>
    <w:multiLevelType w:val="hybridMultilevel"/>
    <w:tmpl w:val="4BA09998"/>
    <w:numStyleLink w:val="Punktor"/>
  </w:abstractNum>
  <w:abstractNum w:abstractNumId="2" w15:restartNumberingAfterBreak="0">
    <w:nsid w:val="62BC112B"/>
    <w:multiLevelType w:val="hybridMultilevel"/>
    <w:tmpl w:val="BADE4F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556947">
    <w:abstractNumId w:val="0"/>
  </w:num>
  <w:num w:numId="2" w16cid:durableId="1368944014">
    <w:abstractNumId w:val="1"/>
    <w:lvlOverride w:ilvl="0">
      <w:lvl w:ilvl="0" w:tplc="A482B12E">
        <w:start w:val="1"/>
        <w:numFmt w:val="bullet"/>
        <w:lvlText w:val="•"/>
        <w:lvlJc w:val="left"/>
        <w:pPr>
          <w:ind w:left="196" w:hanging="196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76112860">
    <w:abstractNumId w:val="1"/>
  </w:num>
  <w:num w:numId="4" w16cid:durableId="797140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A2"/>
    <w:rsid w:val="00442ECA"/>
    <w:rsid w:val="00570362"/>
    <w:rsid w:val="008822A2"/>
    <w:rsid w:val="008A6492"/>
    <w:rsid w:val="00952759"/>
    <w:rsid w:val="00B46970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22BC"/>
  <w15:docId w15:val="{94B3A236-700A-4FB0-A604-CBF7CEB4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49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206D-778A-4FF4-866B-4911D94F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Kukiełka</cp:lastModifiedBy>
  <cp:revision>5</cp:revision>
  <dcterms:created xsi:type="dcterms:W3CDTF">2023-04-24T08:31:00Z</dcterms:created>
  <dcterms:modified xsi:type="dcterms:W3CDTF">2023-04-24T08:33:00Z</dcterms:modified>
</cp:coreProperties>
</file>