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8F0B" w14:textId="77777777" w:rsidR="00702A1C" w:rsidRPr="00A62F5C" w:rsidRDefault="007B4D8A">
      <w:pPr>
        <w:pStyle w:val="Tre"/>
        <w:spacing w:line="288" w:lineRule="auto"/>
        <w:rPr>
          <w:rFonts w:hint="eastAsia"/>
          <w:b/>
          <w:bCs/>
          <w:sz w:val="34"/>
        </w:rPr>
      </w:pPr>
      <w:r w:rsidRPr="00A62F5C">
        <w:rPr>
          <w:rFonts w:hint="eastAsia"/>
          <w:b/>
          <w:bCs/>
          <w:sz w:val="34"/>
        </w:rPr>
        <w:t>Niewykorzystany potencjał</w:t>
      </w:r>
    </w:p>
    <w:p w14:paraId="12F24B33" w14:textId="0103A5E9" w:rsidR="00702A1C" w:rsidRDefault="007B4D8A">
      <w:pPr>
        <w:pStyle w:val="Tre"/>
        <w:spacing w:line="288" w:lineRule="auto"/>
        <w:rPr>
          <w:rFonts w:hint="eastAsia"/>
          <w:b/>
          <w:bCs/>
        </w:rPr>
      </w:pPr>
      <w:r>
        <w:rPr>
          <w:b/>
          <w:bCs/>
        </w:rPr>
        <w:t xml:space="preserve">Państwa regionu wschodniego sąsiedztwa Unii Europejskiej rozwijają technologię szybciej niż myślimy </w:t>
      </w:r>
      <w:r w:rsidR="00962ADD">
        <w:rPr>
          <w:b/>
          <w:bCs/>
        </w:rPr>
        <w:t>–</w:t>
      </w:r>
      <w:r>
        <w:rPr>
          <w:b/>
          <w:bCs/>
        </w:rPr>
        <w:t xml:space="preserve"> to</w:t>
      </w:r>
      <w:r w:rsidR="00962ADD">
        <w:rPr>
          <w:b/>
          <w:bCs/>
        </w:rPr>
        <w:t xml:space="preserve"> </w:t>
      </w:r>
      <w:r>
        <w:rPr>
          <w:b/>
          <w:bCs/>
        </w:rPr>
        <w:t xml:space="preserve">niewykorzystana szansa Polski i całej UE. </w:t>
      </w:r>
    </w:p>
    <w:p w14:paraId="3121E4BD" w14:textId="77777777" w:rsidR="00702A1C" w:rsidRDefault="00702A1C">
      <w:pPr>
        <w:pStyle w:val="Tre"/>
        <w:spacing w:line="288" w:lineRule="auto"/>
        <w:rPr>
          <w:rFonts w:hint="eastAsia"/>
        </w:rPr>
      </w:pPr>
    </w:p>
    <w:p w14:paraId="7C50EE83" w14:textId="77777777" w:rsidR="00702A1C" w:rsidRDefault="007B4D8A">
      <w:pPr>
        <w:pStyle w:val="Tre"/>
        <w:spacing w:line="288" w:lineRule="auto"/>
        <w:rPr>
          <w:rFonts w:hint="eastAsia"/>
        </w:rPr>
      </w:pPr>
      <w:r>
        <w:t>Ekspertyza „Niewykorzystany potencjał. Zasoby branży IT/ICT wybranych kraj</w:t>
      </w:r>
      <w:r>
        <w:rPr>
          <w:lang w:val="es-ES_tradnl"/>
        </w:rPr>
        <w:t>ó</w:t>
      </w:r>
      <w:r>
        <w:t xml:space="preserve">w </w:t>
      </w:r>
      <w:r w:rsidRPr="00F72AE3">
        <w:rPr>
          <w:rFonts w:hint="eastAsia"/>
        </w:rPr>
        <w:t>regionu sąsiedztwa wschodniego</w:t>
      </w:r>
      <w:r>
        <w:t xml:space="preserve"> UE” powstała w ramach Centrum Polityk Publicznych Uniwersytetu Ekonomicznego w Krakowie. Jej autorami są </w:t>
      </w:r>
      <w:r>
        <w:rPr>
          <w:lang w:val="it-IT"/>
        </w:rPr>
        <w:t>Zofia Gr</w:t>
      </w:r>
      <w:r>
        <w:rPr>
          <w:lang w:val="es-ES_tradnl"/>
        </w:rPr>
        <w:t>ó</w:t>
      </w:r>
      <w:r>
        <w:t xml:space="preserve">dek-Szostak, Marat </w:t>
      </w:r>
      <w:proofErr w:type="spellStart"/>
      <w:r>
        <w:t>Karatayev</w:t>
      </w:r>
      <w:proofErr w:type="spellEnd"/>
      <w:r>
        <w:t xml:space="preserve">, Karolina Kotulewicz-Wisińska, </w:t>
      </w:r>
      <w:r>
        <w:rPr>
          <w:lang w:val="es-ES_tradnl"/>
        </w:rPr>
        <w:t>Rafa</w:t>
      </w:r>
      <w:r>
        <w:t xml:space="preserve">ł </w:t>
      </w:r>
      <w:proofErr w:type="spellStart"/>
      <w:r>
        <w:t>Lisiakiewicz</w:t>
      </w:r>
      <w:proofErr w:type="spellEnd"/>
      <w:r>
        <w:t xml:space="preserve"> i </w:t>
      </w:r>
      <w:r>
        <w:rPr>
          <w:lang w:val="de-DE"/>
        </w:rPr>
        <w:t xml:space="preserve">Maria </w:t>
      </w:r>
      <w:proofErr w:type="spellStart"/>
      <w:r>
        <w:rPr>
          <w:lang w:val="de-DE"/>
        </w:rPr>
        <w:t>Wirchnia</w:t>
      </w:r>
      <w:r>
        <w:t>ńska</w:t>
      </w:r>
      <w:proofErr w:type="spellEnd"/>
      <w:r>
        <w:t>.</w:t>
      </w:r>
    </w:p>
    <w:p w14:paraId="47DB1F36" w14:textId="77777777" w:rsidR="00702A1C" w:rsidRDefault="00702A1C">
      <w:pPr>
        <w:pStyle w:val="Tre"/>
        <w:spacing w:line="288" w:lineRule="auto"/>
        <w:rPr>
          <w:rFonts w:hint="eastAsia"/>
        </w:rPr>
      </w:pPr>
    </w:p>
    <w:p w14:paraId="3C492BC4" w14:textId="23A4F3C4" w:rsidR="00702A1C" w:rsidRDefault="007B4D8A">
      <w:pPr>
        <w:pStyle w:val="Tre"/>
        <w:spacing w:line="288" w:lineRule="auto"/>
        <w:rPr>
          <w:rFonts w:hint="eastAsia"/>
        </w:rPr>
      </w:pPr>
      <w:r>
        <w:t>Eksperci CPP przekonują, że dyplomacja gospodarcza jest w Polsce mylnie rozumiana i traktowana jako narzucenie klasycznej dyplomacji zadań promocji interes</w:t>
      </w:r>
      <w:r>
        <w:rPr>
          <w:lang w:val="es-ES_tradnl"/>
        </w:rPr>
        <w:t>ó</w:t>
      </w:r>
      <w:r>
        <w:t xml:space="preserve">w gospodarczych kraju. „Tymczasem chodzi o wypracowanie systemowych rozwiązań w zakresie powiązania potencjału rozwojowego kraju z jego skuteczną promocją” </w:t>
      </w:r>
      <w:r w:rsidR="000C2653">
        <w:t>–</w:t>
      </w:r>
      <w:r>
        <w:t xml:space="preserve"> tłumaczą.</w:t>
      </w:r>
    </w:p>
    <w:p w14:paraId="5E20CD2D" w14:textId="77777777" w:rsidR="00702A1C" w:rsidRDefault="00702A1C">
      <w:pPr>
        <w:pStyle w:val="Tre"/>
        <w:spacing w:line="288" w:lineRule="auto"/>
        <w:rPr>
          <w:rFonts w:hint="eastAsia"/>
        </w:rPr>
      </w:pPr>
    </w:p>
    <w:p w14:paraId="2B6C226C" w14:textId="1BAC9D8B" w:rsidR="00702A1C" w:rsidRDefault="007B4D8A">
      <w:pPr>
        <w:pStyle w:val="Tre"/>
        <w:spacing w:line="288" w:lineRule="auto"/>
        <w:rPr>
          <w:rFonts w:hint="eastAsia"/>
        </w:rPr>
      </w:pPr>
      <w:r>
        <w:t>OECD sektor ICT definiuje jako produkcję (towar</w:t>
      </w:r>
      <w:r>
        <w:rPr>
          <w:lang w:val="es-ES_tradnl"/>
        </w:rPr>
        <w:t>ó</w:t>
      </w:r>
      <w:r>
        <w:t xml:space="preserve">w i usług), </w:t>
      </w:r>
      <w:proofErr w:type="spellStart"/>
      <w:r>
        <w:t>kt</w:t>
      </w:r>
      <w:r>
        <w:rPr>
          <w:lang w:val="es-ES_tradnl"/>
        </w:rPr>
        <w:t>ó</w:t>
      </w:r>
      <w:proofErr w:type="spellEnd"/>
      <w:r>
        <w:t xml:space="preserve">rej celem jest realizacja funkcji przetwarzania informacji oraz komunikacji, przy wykorzystaniu </w:t>
      </w:r>
      <w:proofErr w:type="spellStart"/>
      <w:r>
        <w:t>środk</w:t>
      </w:r>
      <w:r>
        <w:rPr>
          <w:lang w:val="es-ES_tradnl"/>
        </w:rPr>
        <w:t>ó</w:t>
      </w:r>
      <w:proofErr w:type="spellEnd"/>
      <w:r>
        <w:t>w elektronicznych, w tym transmisji i wizualnego odtworzenia danych. CPP analizowało pod tym względem siedem krajów na wschód od granic UE</w:t>
      </w:r>
      <w:r w:rsidR="00395921">
        <w:t>:</w:t>
      </w:r>
      <w:r>
        <w:t xml:space="preserve"> </w:t>
      </w:r>
      <w:r w:rsidR="00395921">
        <w:rPr>
          <w:lang w:val="da-DK"/>
        </w:rPr>
        <w:t>Armenię</w:t>
      </w:r>
      <w:r>
        <w:rPr>
          <w:lang w:val="da-DK"/>
        </w:rPr>
        <w:t>, Azerbejd</w:t>
      </w:r>
      <w:proofErr w:type="spellStart"/>
      <w:r>
        <w:t>żan</w:t>
      </w:r>
      <w:proofErr w:type="spellEnd"/>
      <w:r>
        <w:t xml:space="preserve">, </w:t>
      </w:r>
      <w:r w:rsidR="00395921">
        <w:t>Gruzję</w:t>
      </w:r>
      <w:r>
        <w:t xml:space="preserve">, Kazachstan, </w:t>
      </w:r>
      <w:r w:rsidR="00395921">
        <w:t>Mołdawię</w:t>
      </w:r>
      <w:r>
        <w:t xml:space="preserve">, </w:t>
      </w:r>
      <w:r w:rsidR="00395921">
        <w:t xml:space="preserve">Rosję </w:t>
      </w:r>
      <w:r>
        <w:t xml:space="preserve">i </w:t>
      </w:r>
      <w:r w:rsidR="00395921">
        <w:t>Ukrainę</w:t>
      </w:r>
      <w:r>
        <w:t>.</w:t>
      </w:r>
    </w:p>
    <w:p w14:paraId="6E71525D" w14:textId="77777777" w:rsidR="00702A1C" w:rsidRDefault="00702A1C">
      <w:pPr>
        <w:pStyle w:val="Tre"/>
        <w:spacing w:line="288" w:lineRule="auto"/>
        <w:rPr>
          <w:rFonts w:hint="eastAsia"/>
        </w:rPr>
      </w:pPr>
    </w:p>
    <w:p w14:paraId="0C719E6B" w14:textId="4824A73A" w:rsidR="00702A1C" w:rsidRDefault="007B4D8A">
      <w:pPr>
        <w:pStyle w:val="Tre"/>
        <w:spacing w:line="288" w:lineRule="auto"/>
        <w:rPr>
          <w:rFonts w:hint="eastAsia"/>
        </w:rPr>
      </w:pPr>
      <w:r>
        <w:t xml:space="preserve">Autorzy ekspertyzy podkreślają, że potencjał rozwojowy </w:t>
      </w:r>
      <w:r w:rsidRPr="00A62F5C">
        <w:rPr>
          <w:rFonts w:hint="eastAsia"/>
        </w:rPr>
        <w:t>kraj</w:t>
      </w:r>
      <w:r w:rsidRPr="00A62F5C">
        <w:rPr>
          <w:rFonts w:hint="eastAsia"/>
          <w:lang w:val="es-ES_tradnl"/>
        </w:rPr>
        <w:t>ó</w:t>
      </w:r>
      <w:r w:rsidRPr="00A62F5C">
        <w:rPr>
          <w:rFonts w:hint="eastAsia"/>
        </w:rPr>
        <w:t>w regionu wschodniego sąsiedztwa</w:t>
      </w:r>
      <w:r w:rsidRPr="00A62F5C">
        <w:t xml:space="preserve"> UE w obszarze nowoczesnych technologii oraz współpracy</w:t>
      </w:r>
      <w:r>
        <w:t xml:space="preserve"> w tym zakresie jest niedoceniany. „Jednocześnie kraje te intensywnie modernizują się, co rzadko jest dostrzegane na Zachodzie” </w:t>
      </w:r>
      <w:r w:rsidR="00395921">
        <w:t>–</w:t>
      </w:r>
      <w:r>
        <w:t xml:space="preserve"> czytamy w raporcie.</w:t>
      </w:r>
    </w:p>
    <w:p w14:paraId="7DD7203F" w14:textId="77777777" w:rsidR="00702A1C" w:rsidRDefault="00702A1C">
      <w:pPr>
        <w:pStyle w:val="Tre"/>
        <w:spacing w:line="288" w:lineRule="auto"/>
        <w:rPr>
          <w:rFonts w:hint="eastAsia"/>
        </w:rPr>
      </w:pPr>
    </w:p>
    <w:p w14:paraId="40FD05A0" w14:textId="41302BB8" w:rsidR="00702A1C" w:rsidRDefault="007B4D8A">
      <w:pPr>
        <w:pStyle w:val="Tre"/>
        <w:spacing w:line="288" w:lineRule="auto"/>
        <w:rPr>
          <w:rFonts w:hint="eastAsia"/>
        </w:rPr>
      </w:pPr>
      <w:r>
        <w:t>Przykłady</w:t>
      </w:r>
    </w:p>
    <w:p w14:paraId="45CDA4F7" w14:textId="23925AC2" w:rsidR="00702A1C" w:rsidRDefault="007B4D8A">
      <w:pPr>
        <w:pStyle w:val="Tre"/>
        <w:numPr>
          <w:ilvl w:val="0"/>
          <w:numId w:val="2"/>
        </w:numPr>
        <w:spacing w:line="288" w:lineRule="auto"/>
        <w:rPr>
          <w:rFonts w:hint="eastAsia"/>
        </w:rPr>
      </w:pPr>
      <w:r>
        <w:t>Armenia</w:t>
      </w:r>
      <w:r w:rsidR="00395921">
        <w:t xml:space="preserve"> </w:t>
      </w:r>
      <w:r w:rsidR="00395921">
        <w:rPr>
          <w:rFonts w:hint="eastAsia"/>
        </w:rPr>
        <w:t>–</w:t>
      </w:r>
      <w:r>
        <w:t xml:space="preserve"> </w:t>
      </w:r>
      <w:r w:rsidR="00395921">
        <w:t xml:space="preserve">innowacyjne </w:t>
      </w:r>
      <w:r>
        <w:t xml:space="preserve">startupy IT w branży uczenia maszynowego. </w:t>
      </w:r>
      <w:r>
        <w:rPr>
          <w:lang w:val="it-IT"/>
        </w:rPr>
        <w:t xml:space="preserve">Krisp </w:t>
      </w:r>
      <w:r w:rsidR="00395921">
        <w:t>–</w:t>
      </w:r>
      <w:r>
        <w:t xml:space="preserve"> 12 </w:t>
      </w:r>
      <w:proofErr w:type="spellStart"/>
      <w:r>
        <w:t>specjalist</w:t>
      </w:r>
      <w:r>
        <w:rPr>
          <w:lang w:val="es-ES_tradnl"/>
        </w:rPr>
        <w:t>ó</w:t>
      </w:r>
      <w:proofErr w:type="spellEnd"/>
      <w:r>
        <w:t xml:space="preserve">w opracowało aplikację komputerową, </w:t>
      </w:r>
      <w:proofErr w:type="spellStart"/>
      <w:r>
        <w:t>kt</w:t>
      </w:r>
      <w:r>
        <w:rPr>
          <w:lang w:val="es-ES_tradnl"/>
        </w:rPr>
        <w:t>ó</w:t>
      </w:r>
      <w:r>
        <w:t>ra</w:t>
      </w:r>
      <w:proofErr w:type="spellEnd"/>
      <w:r>
        <w:t xml:space="preserve"> redukuje hał</w:t>
      </w:r>
      <w:r w:rsidRPr="00A62F5C">
        <w:t>as w</w:t>
      </w:r>
      <w:r>
        <w:t xml:space="preserve"> tle podczas </w:t>
      </w:r>
      <w:proofErr w:type="spellStart"/>
      <w:r>
        <w:t>rozm</w:t>
      </w:r>
      <w:r>
        <w:rPr>
          <w:lang w:val="es-ES_tradnl"/>
        </w:rPr>
        <w:t>ó</w:t>
      </w:r>
      <w:proofErr w:type="spellEnd"/>
      <w:r>
        <w:t xml:space="preserve">w telefonicznych. Produkt </w:t>
      </w:r>
      <w:proofErr w:type="spellStart"/>
      <w:r>
        <w:t>Krisp</w:t>
      </w:r>
      <w:proofErr w:type="spellEnd"/>
      <w:r>
        <w:t xml:space="preserve"> uznano za produkt audio i wideo 2018 r. przez firmę </w:t>
      </w:r>
      <w:proofErr w:type="spellStart"/>
      <w:r>
        <w:t>ProductHunt</w:t>
      </w:r>
      <w:proofErr w:type="spellEnd"/>
      <w:r>
        <w:t xml:space="preserve">. </w:t>
      </w:r>
      <w:proofErr w:type="spellStart"/>
      <w:r>
        <w:t>Krisp</w:t>
      </w:r>
      <w:proofErr w:type="spellEnd"/>
      <w:r>
        <w:t xml:space="preserve"> zawarł niedawno </w:t>
      </w:r>
      <w:r w:rsidRPr="00A62F5C">
        <w:rPr>
          <w:rFonts w:hint="eastAsia"/>
        </w:rPr>
        <w:t>umowy partners</w:t>
      </w:r>
      <w:r w:rsidR="00A62F5C" w:rsidRPr="00A62F5C">
        <w:t>kie</w:t>
      </w:r>
      <w:r w:rsidRPr="00A62F5C">
        <w:t xml:space="preserve"> z „</w:t>
      </w:r>
      <w:proofErr w:type="spellStart"/>
      <w:r>
        <w:t>Rostelekom</w:t>
      </w:r>
      <w:proofErr w:type="spellEnd"/>
      <w:r>
        <w:t xml:space="preserve">” i z </w:t>
      </w:r>
      <w:proofErr w:type="spellStart"/>
      <w:r>
        <w:t>Sitel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są zainteresowane lepszą obsługą połączeń z potencjalnymi klientami.</w:t>
      </w:r>
    </w:p>
    <w:p w14:paraId="7D3E6966" w14:textId="2122EDB9" w:rsidR="00702A1C" w:rsidRDefault="007B4D8A">
      <w:pPr>
        <w:pStyle w:val="Tre"/>
        <w:numPr>
          <w:ilvl w:val="0"/>
          <w:numId w:val="2"/>
        </w:numPr>
        <w:spacing w:line="288" w:lineRule="auto"/>
        <w:rPr>
          <w:rFonts w:hint="eastAsia"/>
        </w:rPr>
      </w:pPr>
      <w:r>
        <w:t>Gruzja</w:t>
      </w:r>
      <w:r w:rsidR="00395921">
        <w:t xml:space="preserve"> </w:t>
      </w:r>
      <w:r w:rsidR="00395921">
        <w:rPr>
          <w:rFonts w:hint="eastAsia"/>
        </w:rPr>
        <w:t>–</w:t>
      </w:r>
      <w:r>
        <w:t xml:space="preserve"> </w:t>
      </w:r>
      <w:r w:rsidR="00395921">
        <w:t>s</w:t>
      </w:r>
      <w:r>
        <w:t xml:space="preserve">ektor ICT odgrywa coraz bardziej znaczącą rolę w gospodarce kraju – to ok. 7% PKB. Kraj osiągnął znaczący postęp w zwiększaniu przystępności cenowej usług ICT, przesuwając się ze 101. na 15. </w:t>
      </w:r>
      <w:r w:rsidR="00F72AE3">
        <w:rPr>
          <w:rFonts w:hint="eastAsia"/>
        </w:rPr>
        <w:t>P</w:t>
      </w:r>
      <w:r>
        <w:t>ozycję</w:t>
      </w:r>
      <w:r w:rsidR="00F72AE3">
        <w:t xml:space="preserve"> </w:t>
      </w:r>
      <w:r w:rsidR="00F72AE3" w:rsidRPr="00F72AE3">
        <w:t xml:space="preserve">w rankingu Global </w:t>
      </w:r>
      <w:proofErr w:type="spellStart"/>
      <w:r w:rsidR="00F72AE3" w:rsidRPr="00F72AE3">
        <w:t>Networked</w:t>
      </w:r>
      <w:proofErr w:type="spellEnd"/>
      <w:r w:rsidR="00F72AE3" w:rsidRPr="00F72AE3">
        <w:t xml:space="preserve"> Readiness Index</w:t>
      </w:r>
      <w:r>
        <w:t>.</w:t>
      </w:r>
    </w:p>
    <w:p w14:paraId="5E5E6DCE" w14:textId="7F547A58" w:rsidR="00702A1C" w:rsidRDefault="007B4D8A">
      <w:pPr>
        <w:pStyle w:val="Tre"/>
        <w:numPr>
          <w:ilvl w:val="0"/>
          <w:numId w:val="2"/>
        </w:numPr>
        <w:spacing w:line="288" w:lineRule="auto"/>
        <w:rPr>
          <w:rFonts w:hint="eastAsia"/>
        </w:rPr>
      </w:pPr>
      <w:r>
        <w:t>Federacja Rosyjska odpowiada już za 5,7% wartości europejskiego sektora usług IT. W ostatnich latach rosyjska branża usług IT odnotowała silny wzrost. Rosyjscy analitycy podają, że sektor informatyczny jest jednym z najszybciej rozwijających się sektor</w:t>
      </w:r>
      <w:r>
        <w:rPr>
          <w:lang w:val="es-ES_tradnl"/>
        </w:rPr>
        <w:t>ó</w:t>
      </w:r>
      <w:r>
        <w:t>w rosyjskiej gospodarki. W latach 2010-2019 ponad dwukrotnie zwiększył się jego udział w PKB (z 0,47 do 0,96%), a eksport usług sektorowych wyrażony w dolarach prawie 3,5-krotnie, osiągając 4,5 mld USD.</w:t>
      </w:r>
    </w:p>
    <w:p w14:paraId="67A76C7F" w14:textId="31BE1EF2" w:rsidR="00702A1C" w:rsidRDefault="007B4D8A">
      <w:pPr>
        <w:pStyle w:val="Tre"/>
        <w:numPr>
          <w:ilvl w:val="0"/>
          <w:numId w:val="2"/>
        </w:numPr>
        <w:spacing w:line="288" w:lineRule="auto"/>
        <w:rPr>
          <w:rFonts w:hint="eastAsia"/>
        </w:rPr>
      </w:pPr>
      <w:r>
        <w:lastRenderedPageBreak/>
        <w:t>Ukraina</w:t>
      </w:r>
      <w:r w:rsidR="00395921">
        <w:t xml:space="preserve"> </w:t>
      </w:r>
      <w:r w:rsidR="00395921">
        <w:rPr>
          <w:rFonts w:hint="eastAsia"/>
        </w:rPr>
        <w:t>–</w:t>
      </w:r>
      <w:r>
        <w:t xml:space="preserve"> </w:t>
      </w:r>
      <w:r w:rsidR="00395921">
        <w:t>w</w:t>
      </w:r>
      <w:r>
        <w:t xml:space="preserve"> ostatnich kilku latach zauważalny jest wzrost znaczenia sektora ICT w tym kraju. </w:t>
      </w:r>
      <w:r>
        <w:rPr>
          <w:lang w:val="de-DE"/>
        </w:rPr>
        <w:t>W</w:t>
      </w:r>
      <w:r>
        <w:t xml:space="preserve"> ostatnich latach rośnie jego znaczenie w handlu zagranicznym. Liderami pod względem wielkości wytwarzanego regionalnego PKB </w:t>
      </w:r>
      <w:r w:rsidRPr="00A62F5C">
        <w:rPr>
          <w:rFonts w:hint="eastAsia"/>
          <w:i/>
        </w:rPr>
        <w:t>per capita</w:t>
      </w:r>
      <w:r>
        <w:t xml:space="preserve"> są takie ośrodki miejskie, jak: Kij</w:t>
      </w:r>
      <w:r>
        <w:rPr>
          <w:lang w:val="es-ES_tradnl"/>
        </w:rPr>
        <w:t>ó</w:t>
      </w:r>
      <w:r>
        <w:t>w, Dniepr, Chark</w:t>
      </w:r>
      <w:r>
        <w:rPr>
          <w:lang w:val="es-ES_tradnl"/>
        </w:rPr>
        <w:t>ó</w:t>
      </w:r>
      <w:r>
        <w:t xml:space="preserve">w i </w:t>
      </w:r>
      <w:proofErr w:type="spellStart"/>
      <w:r>
        <w:t>Lw</w:t>
      </w:r>
      <w:r>
        <w:rPr>
          <w:lang w:val="es-ES_tradnl"/>
        </w:rPr>
        <w:t>ó</w:t>
      </w:r>
      <w:proofErr w:type="spellEnd"/>
      <w:r>
        <w:t xml:space="preserve">w. </w:t>
      </w:r>
    </w:p>
    <w:p w14:paraId="1CFA3D39" w14:textId="77777777" w:rsidR="00702A1C" w:rsidRDefault="007B4D8A">
      <w:pPr>
        <w:pStyle w:val="Tre"/>
        <w:numPr>
          <w:ilvl w:val="0"/>
          <w:numId w:val="2"/>
        </w:numPr>
        <w:spacing w:line="288" w:lineRule="auto"/>
        <w:rPr>
          <w:rFonts w:hint="eastAsia"/>
        </w:rPr>
      </w:pPr>
      <w:r>
        <w:t>Reformy cyfrowe w krajach Partnerstwa Wschodniego, m.in. na Ukrainie, wspiera unijna inicjatywa EU4Digital. To działania promujące gospodarkę i społeczeństwo cyfrowe. Jednym z realizowanych dziś projekt</w:t>
      </w:r>
      <w:r>
        <w:rPr>
          <w:lang w:val="es-ES_tradnl"/>
        </w:rPr>
        <w:t>ó</w:t>
      </w:r>
      <w:r>
        <w:t xml:space="preserve">w jest stworzenie </w:t>
      </w:r>
      <w:proofErr w:type="spellStart"/>
      <w:r>
        <w:t>wsp</w:t>
      </w:r>
      <w:r>
        <w:rPr>
          <w:lang w:val="es-ES_tradnl"/>
        </w:rPr>
        <w:t>ó</w:t>
      </w:r>
      <w:r>
        <w:t>lnej</w:t>
      </w:r>
      <w:proofErr w:type="spellEnd"/>
      <w:r>
        <w:t xml:space="preserve"> przestrzeni </w:t>
      </w:r>
      <w:proofErr w:type="spellStart"/>
      <w:r>
        <w:t>roamingowej</w:t>
      </w:r>
      <w:proofErr w:type="spellEnd"/>
      <w:r>
        <w:t xml:space="preserve"> w Armenii, Azerbejdżanie, Gruzji, na Białorusi, Ukrainie i w Republice Mołdawii. Według </w:t>
      </w:r>
      <w:proofErr w:type="spellStart"/>
      <w:r>
        <w:t>szacunk</w:t>
      </w:r>
      <w:r>
        <w:rPr>
          <w:lang w:val="es-ES_tradnl"/>
        </w:rPr>
        <w:t>ó</w:t>
      </w:r>
      <w:proofErr w:type="spellEnd"/>
      <w:r>
        <w:t xml:space="preserve">w ceny </w:t>
      </w:r>
      <w:proofErr w:type="spellStart"/>
      <w:r>
        <w:t>roamingu</w:t>
      </w:r>
      <w:proofErr w:type="spellEnd"/>
      <w:r>
        <w:t xml:space="preserve"> spadną do 2026 r. o blisko 90%.</w:t>
      </w:r>
    </w:p>
    <w:p w14:paraId="470B7B90" w14:textId="77777777" w:rsidR="00702A1C" w:rsidRDefault="00702A1C">
      <w:pPr>
        <w:pStyle w:val="Tre"/>
        <w:spacing w:line="288" w:lineRule="auto"/>
        <w:rPr>
          <w:rFonts w:hint="eastAsia"/>
        </w:rPr>
      </w:pPr>
    </w:p>
    <w:p w14:paraId="1E902492" w14:textId="77777777" w:rsidR="00702A1C" w:rsidRDefault="007B4D8A">
      <w:pPr>
        <w:pStyle w:val="Tre"/>
        <w:spacing w:line="288" w:lineRule="auto"/>
        <w:rPr>
          <w:rFonts w:hint="eastAsia"/>
        </w:rPr>
      </w:pPr>
      <w:r>
        <w:t>B</w:t>
      </w:r>
      <w:proofErr w:type="spellStart"/>
      <w:r>
        <w:rPr>
          <w:lang w:val="es-ES_tradnl"/>
        </w:rPr>
        <w:t>ada</w:t>
      </w:r>
      <w:r>
        <w:t>nia</w:t>
      </w:r>
      <w:proofErr w:type="spellEnd"/>
      <w:r>
        <w:t xml:space="preserve"> naukowców Centrum Polityk Publicznych wskazują, że istnieje ogromny potencjał rozwoju nowoczesnych technologii w krajach wschodniego sąsiedztwa. Większość badanych państw deklaruje chęć wsparcia takich proces</w:t>
      </w:r>
      <w:r>
        <w:rPr>
          <w:lang w:val="es-ES_tradnl"/>
        </w:rPr>
        <w:t>ó</w:t>
      </w:r>
      <w:r>
        <w:t>w.</w:t>
      </w:r>
    </w:p>
    <w:p w14:paraId="1AD7C60A" w14:textId="77777777" w:rsidR="00702A1C" w:rsidRDefault="00702A1C">
      <w:pPr>
        <w:pStyle w:val="Tre"/>
        <w:spacing w:line="288" w:lineRule="auto"/>
        <w:rPr>
          <w:rFonts w:hint="eastAsia"/>
        </w:rPr>
      </w:pPr>
    </w:p>
    <w:p w14:paraId="62D52EAB" w14:textId="5869AB55" w:rsidR="00702A1C" w:rsidRDefault="007B4D8A">
      <w:pPr>
        <w:pStyle w:val="Tre"/>
        <w:spacing w:line="288" w:lineRule="auto"/>
        <w:rPr>
          <w:rFonts w:hint="eastAsia"/>
        </w:rPr>
      </w:pPr>
      <w:r>
        <w:t xml:space="preserve">Więcej: </w:t>
      </w:r>
      <w:hyperlink r:id="rId8" w:history="1">
        <w:r w:rsidR="00F72AE3" w:rsidRPr="00642494">
          <w:rPr>
            <w:rStyle w:val="Hipercze"/>
          </w:rPr>
          <w:t>https://politykipubliczne.pl/raport-niewykorzystany-potencjal-zasoby-branzy-it-ict-wybranych-krajow-regionu-sasiedztwa-wschodniego-ue/</w:t>
        </w:r>
      </w:hyperlink>
      <w:r w:rsidR="00F72AE3">
        <w:t xml:space="preserve"> </w:t>
      </w:r>
    </w:p>
    <w:p w14:paraId="15E8366C" w14:textId="7FC96C59" w:rsidR="00F72AE3" w:rsidRDefault="00F72AE3">
      <w:pPr>
        <w:pStyle w:val="Tre"/>
        <w:spacing w:line="288" w:lineRule="auto"/>
        <w:rPr>
          <w:rFonts w:hint="eastAsia"/>
        </w:rPr>
      </w:pPr>
    </w:p>
    <w:p w14:paraId="276C4970" w14:textId="77777777" w:rsidR="00702A1C" w:rsidRDefault="00702A1C">
      <w:pPr>
        <w:pStyle w:val="Tre"/>
        <w:spacing w:line="288" w:lineRule="auto"/>
        <w:rPr>
          <w:rFonts w:hint="eastAsia"/>
        </w:rPr>
      </w:pPr>
    </w:p>
    <w:p w14:paraId="09C8A9C4" w14:textId="77777777" w:rsidR="00F72AE3" w:rsidRDefault="007B4D8A" w:rsidP="00F72AE3">
      <w:pPr>
        <w:pStyle w:val="Tre"/>
        <w:spacing w:line="288" w:lineRule="auto"/>
        <w:rPr>
          <w:rFonts w:hint="eastAsia"/>
        </w:rPr>
      </w:pPr>
      <w:r>
        <w:t xml:space="preserve">Kontakt: </w:t>
      </w:r>
      <w:r w:rsidR="00F72AE3">
        <w:t>Izabela Wiśniewska</w:t>
      </w:r>
    </w:p>
    <w:p w14:paraId="051605C8" w14:textId="4541D657" w:rsidR="00F72AE3" w:rsidRDefault="00F72AE3" w:rsidP="00F72AE3">
      <w:pPr>
        <w:pStyle w:val="Tre"/>
        <w:spacing w:line="288" w:lineRule="auto"/>
        <w:rPr>
          <w:rFonts w:hint="eastAsia"/>
        </w:rPr>
      </w:pPr>
      <w:r>
        <w:t>E: izabela.wisniewska@uek.krakow.pl</w:t>
      </w:r>
    </w:p>
    <w:p w14:paraId="004A1613" w14:textId="38E86A1A" w:rsidR="00702A1C" w:rsidRDefault="00F72AE3" w:rsidP="00F72AE3">
      <w:pPr>
        <w:pStyle w:val="Tre"/>
        <w:spacing w:line="288" w:lineRule="auto"/>
        <w:rPr>
          <w:rFonts w:hint="eastAsia"/>
        </w:rPr>
      </w:pPr>
      <w:r>
        <w:t>T: (+48) 570 171 551</w:t>
      </w:r>
    </w:p>
    <w:p w14:paraId="353D75D9" w14:textId="77777777" w:rsidR="00702A1C" w:rsidRDefault="00702A1C">
      <w:pPr>
        <w:pStyle w:val="Tre"/>
        <w:spacing w:line="288" w:lineRule="auto"/>
        <w:rPr>
          <w:rFonts w:hint="eastAsia"/>
        </w:rPr>
      </w:pPr>
    </w:p>
    <w:p w14:paraId="11DEE05A" w14:textId="77777777" w:rsidR="00702A1C" w:rsidRDefault="00702A1C">
      <w:pPr>
        <w:pStyle w:val="Tre"/>
        <w:spacing w:line="288" w:lineRule="auto"/>
        <w:rPr>
          <w:rFonts w:hint="eastAsia"/>
        </w:rPr>
      </w:pPr>
    </w:p>
    <w:p w14:paraId="2E518861" w14:textId="77777777" w:rsidR="00702A1C" w:rsidRDefault="00702A1C">
      <w:pPr>
        <w:pStyle w:val="Tre"/>
        <w:spacing w:line="288" w:lineRule="auto"/>
        <w:rPr>
          <w:rFonts w:hint="eastAsia"/>
        </w:rPr>
      </w:pPr>
    </w:p>
    <w:p w14:paraId="08E9C71C" w14:textId="77777777" w:rsidR="00702A1C" w:rsidRDefault="00702A1C">
      <w:pPr>
        <w:pStyle w:val="Tre"/>
        <w:spacing w:line="288" w:lineRule="auto"/>
        <w:rPr>
          <w:rFonts w:hint="eastAsia"/>
        </w:rPr>
      </w:pPr>
    </w:p>
    <w:p w14:paraId="0B8836CC" w14:textId="77777777" w:rsidR="00702A1C" w:rsidRDefault="00702A1C">
      <w:pPr>
        <w:pStyle w:val="Tre"/>
        <w:spacing w:line="288" w:lineRule="auto"/>
        <w:rPr>
          <w:rFonts w:hint="eastAsia"/>
        </w:rPr>
      </w:pPr>
    </w:p>
    <w:sectPr w:rsidR="00702A1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23DF" w14:textId="77777777" w:rsidR="00DD6B00" w:rsidRDefault="00DD6B00">
      <w:r>
        <w:separator/>
      </w:r>
    </w:p>
  </w:endnote>
  <w:endnote w:type="continuationSeparator" w:id="0">
    <w:p w14:paraId="150F2C46" w14:textId="77777777" w:rsidR="00DD6B00" w:rsidRDefault="00DD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8380" w14:textId="77777777" w:rsidR="00702A1C" w:rsidRDefault="00702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175D" w14:textId="77777777" w:rsidR="00DD6B00" w:rsidRDefault="00DD6B00">
      <w:r>
        <w:separator/>
      </w:r>
    </w:p>
  </w:footnote>
  <w:footnote w:type="continuationSeparator" w:id="0">
    <w:p w14:paraId="27F0E91C" w14:textId="77777777" w:rsidR="00DD6B00" w:rsidRDefault="00DD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195E" w14:textId="77777777" w:rsidR="00702A1C" w:rsidRDefault="00702A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pt;height:20pt;visibility:visible" o:bullet="t">
        <v:imagedata r:id="rId1" o:title="bullet_circle-blk-resize"/>
      </v:shape>
    </w:pict>
  </w:numPicBullet>
  <w:abstractNum w:abstractNumId="0" w15:restartNumberingAfterBreak="0">
    <w:nsid w:val="537203F5"/>
    <w:multiLevelType w:val="hybridMultilevel"/>
    <w:tmpl w:val="0164CFAE"/>
    <w:styleLink w:val="Obrazek"/>
    <w:lvl w:ilvl="0" w:tplc="C4B6251C">
      <w:start w:val="1"/>
      <w:numFmt w:val="bullet"/>
      <w:lvlText w:val="•"/>
      <w:lvlPicBulletId w:val="0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FE0EF0BE">
      <w:start w:val="1"/>
      <w:numFmt w:val="bullet"/>
      <w:lvlText w:val="•"/>
      <w:lvlPicBulletId w:val="0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276A6DA2">
      <w:start w:val="1"/>
      <w:numFmt w:val="bullet"/>
      <w:lvlText w:val="•"/>
      <w:lvlPicBulletId w:val="0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65340E26">
      <w:start w:val="1"/>
      <w:numFmt w:val="bullet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AD03BCC">
      <w:start w:val="1"/>
      <w:numFmt w:val="bullet"/>
      <w:lvlText w:val="•"/>
      <w:lvlPicBulletId w:val="0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7AC8BF62">
      <w:start w:val="1"/>
      <w:numFmt w:val="bullet"/>
      <w:lvlText w:val="•"/>
      <w:lvlPicBulletId w:val="0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CAC685E0">
      <w:start w:val="1"/>
      <w:numFmt w:val="bullet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84B0D5FC">
      <w:start w:val="1"/>
      <w:numFmt w:val="bullet"/>
      <w:lvlText w:val="•"/>
      <w:lvlPicBulletId w:val="0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BF07E00">
      <w:start w:val="1"/>
      <w:numFmt w:val="bullet"/>
      <w:lvlText w:val="•"/>
      <w:lvlPicBulletId w:val="0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" w15:restartNumberingAfterBreak="0">
    <w:nsid w:val="5ADF679D"/>
    <w:multiLevelType w:val="hybridMultilevel"/>
    <w:tmpl w:val="0164CFAE"/>
    <w:numStyleLink w:val="Obrazek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1C"/>
    <w:rsid w:val="00035C59"/>
    <w:rsid w:val="000C2653"/>
    <w:rsid w:val="00395921"/>
    <w:rsid w:val="00702A1C"/>
    <w:rsid w:val="007B4D8A"/>
    <w:rsid w:val="00962ADD"/>
    <w:rsid w:val="00A62F5C"/>
    <w:rsid w:val="00CD6993"/>
    <w:rsid w:val="00DC03DB"/>
    <w:rsid w:val="00DD6B00"/>
    <w:rsid w:val="00E55A23"/>
    <w:rsid w:val="00F72AE3"/>
    <w:rsid w:val="00F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1FA4"/>
  <w15:docId w15:val="{6F2D9E12-98A2-424E-AE24-C83BCC56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Obrazek">
    <w:name w:val="Obrazek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A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AD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ADD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ADD"/>
    <w:rPr>
      <w:rFonts w:ascii="Segoe UI" w:hAnsi="Segoe UI" w:cs="Segoe UI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ykipubliczne.pl/raport-niewykorzystany-potencjal-zasoby-branzy-it-ict-wybranych-krajow-regionu-sasiedztwa-wschodniego-u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8154-415C-4CEA-9280-E8EE4A5B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mk2</dc:creator>
  <cp:lastModifiedBy>Izabela Wiśniewska</cp:lastModifiedBy>
  <cp:revision>7</cp:revision>
  <dcterms:created xsi:type="dcterms:W3CDTF">2021-09-16T13:20:00Z</dcterms:created>
  <dcterms:modified xsi:type="dcterms:W3CDTF">2021-09-20T06:50:00Z</dcterms:modified>
</cp:coreProperties>
</file>